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templates-oa-member.md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155 paragraphs identical · 59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Multiple Members / Partnership Taxation)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means, </w:t>
      </w:r>
      <w:r>
        <w:rPr>
          <w:rFonts w:ascii="Times New Roman" w:hAnsi="Times New Roman"/>
          <w:color w:val="0645AD"/>
          <w:u w:val="single"/>
          <w:sz w:val="24"/>
          <w:szCs w:val="24"/>
        </w:rPr>
        <w:t xml:space="preserve">Liability" means a liability incurred by, contracted for, or otherwise existing </w:t>
      </w:r>
      <w:r>
        <w:rPr>
          <w:rFonts w:ascii="Times New Roman" w:hAnsi="Times New Roman"/>
          <w:sz w:val="24"/>
          <w:szCs w:val="24"/>
        </w:rPr>
        <w:t xml:space="preserve">with respect to a </w:t>
      </w:r>
      <w:r>
        <w:rPr>
          <w:rFonts w:ascii="Times New Roman" w:hAnsi="Times New Roman"/>
          <w:strike/>
          <w:color w:val="C00000"/>
          <w:sz w:val="24"/>
          <w:szCs w:val="24"/>
        </w:rPr>
        <w:t xml:space="preserve">Protected Series, a member of the Company associated with that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"Immediate Family Member"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w:t>
      </w:r>
      <w:r>
        <w:rPr>
          <w:rFonts w:ascii="Times New Roman" w:hAnsi="Times New Roman"/>
          <w:color w:val="0645AD"/>
          <w:u w:val="single"/>
          <w:sz w:val="24"/>
          <w:szCs w:val="24"/>
        </w:rPr>
        <w:t xml:space="preserve">Member, (a) any ancestor of that </w:t>
      </w:r>
      <w:r>
        <w:rPr>
          <w:rFonts w:ascii="Times New Roman" w:hAnsi="Times New Roman"/>
          <w:sz w:val="24"/>
          <w:szCs w:val="24"/>
        </w:rPr>
        <w:t xml:space="preserve">Member or </w:t>
      </w:r>
      <w:r>
        <w:rPr>
          <w:rFonts w:ascii="Times New Roman" w:hAnsi="Times New Roman"/>
          <w:strike/>
          <w:color w:val="C00000"/>
          <w:sz w:val="24"/>
          <w:szCs w:val="24"/>
        </w:rPr>
        <w:t xml:space="preserve">transferee is deprived </w:t>
      </w:r>
      <w:r>
        <w:rPr>
          <w:rFonts w:ascii="Times New Roman" w:hAnsi="Times New Roman"/>
          <w:color w:val="0645AD"/>
          <w:u w:val="single"/>
          <w:sz w:val="24"/>
          <w:szCs w:val="24"/>
        </w:rPr>
        <w:t xml:space="preserve">descendant of a grandparent of that Member (each an "Individual Family Member," and including persons legally adopted before age 18), </w:t>
      </w:r>
      <w:r>
        <w:rPr>
          <w:rFonts w:ascii="Times New Roman" w:hAnsi="Times New Roman"/>
          <w:sz w:val="24"/>
          <w:szCs w:val="24"/>
        </w:rPr>
        <w:t xml:space="preserve">or </w:t>
      </w:r>
      <w:r>
        <w:rPr>
          <w:rFonts w:ascii="Times New Roman" w:hAnsi="Times New Roman"/>
          <w:strike/>
          <w:color w:val="C00000"/>
          <w:sz w:val="24"/>
          <w:szCs w:val="24"/>
        </w:rPr>
        <w:t xml:space="preserve">divested of any right, title, </w:t>
      </w:r>
      <w:r>
        <w:rPr>
          <w:rFonts w:ascii="Times New Roman" w:hAnsi="Times New Roman"/>
          <w:color w:val="0645AD"/>
          <w:u w:val="single"/>
          <w:sz w:val="24"/>
          <w:szCs w:val="24"/>
        </w:rPr>
        <w:t xml:space="preserve">(b) a trust </w:t>
      </w:r>
      <w:r>
        <w:rPr>
          <w:rFonts w:ascii="Times New Roman" w:hAnsi="Times New Roman"/>
          <w:sz w:val="24"/>
          <w:szCs w:val="24"/>
        </w:rPr>
        <w:t xml:space="preserve">or </w:t>
      </w:r>
      <w:r>
        <w:rPr>
          <w:rFonts w:ascii="Times New Roman" w:hAnsi="Times New Roman"/>
          <w:strike/>
          <w:color w:val="C00000"/>
          <w:sz w:val="24"/>
          <w:szCs w:val="24"/>
        </w:rPr>
        <w:t xml:space="preserve">interest in a Membership Interest </w:t>
      </w:r>
      <w:r>
        <w:rPr>
          <w:rFonts w:ascii="Times New Roman" w:hAnsi="Times New Roman"/>
          <w:sz w:val="24"/>
          <w:szCs w:val="24"/>
        </w:rPr>
        <w:t xml:space="preserve">other </w:t>
      </w:r>
      <w:r>
        <w:rPr>
          <w:rFonts w:ascii="Times New Roman" w:hAnsi="Times New Roman"/>
          <w:strike/>
          <w:color w:val="C00000"/>
          <w:sz w:val="24"/>
          <w:szCs w:val="24"/>
        </w:rPr>
        <w:t xml:space="preserve">than voluntarily, including (a) a Transfer to or </w:t>
      </w:r>
      <w:r>
        <w:rPr>
          <w:rFonts w:ascii="Times New Roman" w:hAnsi="Times New Roman"/>
          <w:color w:val="0645AD"/>
          <w:u w:val="single"/>
          <w:sz w:val="24"/>
          <w:szCs w:val="24"/>
        </w:rPr>
        <w:t xml:space="preserve">entity </w:t>
      </w:r>
      <w:r>
        <w:rPr>
          <w:rFonts w:ascii="Times New Roman" w:hAnsi="Times New Roman"/>
          <w:sz w:val="24"/>
          <w:szCs w:val="24"/>
        </w:rPr>
        <w:t xml:space="preserve">for the benefit of </w:t>
      </w:r>
      <w:r>
        <w:rPr>
          <w:rFonts w:ascii="Times New Roman" w:hAnsi="Times New Roman"/>
          <w:color w:val="0645AD"/>
          <w:u w:val="single"/>
          <w:sz w:val="24"/>
          <w:szCs w:val="24"/>
        </w:rPr>
        <w:t xml:space="preserve">one or more Individual Family Members, provided all beneficial interests in that entity are held by such persons;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to court order, subject in all events to Section 10.6, (b) </w:t>
      </w:r>
      <w:r>
        <w:rPr>
          <w:rFonts w:ascii="Times New Roman" w:hAnsi="Times New Roman"/>
          <w:color w:val="0645AD"/>
          <w:u w:val="single"/>
          <w:sz w:val="24"/>
          <w:szCs w:val="24"/>
        </w:rPr>
        <w:t xml:space="preserve">trust is 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remainder beneficiary is 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 CAPITAL ACCOUNTS</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apply this Section so that the allocations have substantial economic effect and shall resolve questions of application consistently and in good faith. </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Tax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 </w:t>
      </w:r>
    </w:p>
    <w:p>
      <w:pPr>
        <w:keepLines/>
        <w:widowControl/>
        <w:spacing w:after="160"/>
        <w:jc w:val="both"/>
      </w:pPr>
      <w:r>
        <w:rPr>
          <w:rFonts w:ascii="Times New Roman" w:hAnsi="Times New Roman"/>
          <w:sz w:val="24"/>
          <w:szCs w:val="24"/>
        </w:rPr>
        <w:t xml:space="preserve">9.3 Partnership Representative.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(or a person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p>
    <w:p>
      <w:pPr>
        <w:keepLines/>
        <w:widowControl/>
        <w:spacing w:after="160"/>
        <w:jc w:val="both"/>
      </w:pPr>
      <w:r>
        <w:rPr>
          <w:rFonts w:ascii="Times New Roman" w:hAnsi="Times New Roman"/>
          <w:sz w:val="24"/>
          <w:szCs w:val="24"/>
        </w:rPr>
        <w:t xml:space="preserve">9.4 Tax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tax election for the Company or any Protected Series (including an election under section 754 of the Code)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9.5 Fiscal Year. The fiscal year of the Company and of each Protected Series is the calendar year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selects another permitted year.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as Company Manager / NAME] </w:t>
      </w:r>
      <w:r>
        <w:rPr>
          <w:rFonts w:ascii="Times New Roman" w:hAnsi="Times New Roman"/>
          <w:color w:val="0645AD"/>
          <w:u w:val="single"/>
          <w:sz w:val="24"/>
          <w:szCs w:val="24"/>
        </w:rPr>
        <w:t xml:space="preserve">The Company,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