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$50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separate company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percentages or fractions of the whole,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separate company manager: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Article 10 addresses admission of an additional member. Transfer provisions also appear elsewhere in the agreement, including Section 9.3’s shareholder-eligibility restrictions in the S corporation forms and Section 1.4’s ownership requirements for professional companies.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 disregarded company ordinarily becomes a partnership for federal income-tax purposes when a second owner is admitted. An existing S election does not end merely because a second eligible owner joins.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For example, if you use a member-managed, multi-member agreement and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separate federal income-tax return for the disregarded LLC. Its activity is reported through its tax owner. An individual generally uses the applicable schedules of Form 1040 or 1040-SR; other owners use their applicable reporting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an EIN identifies the company for those purposes. </w:t>
      </w:r>
      <w:r>
        <w:rPr>
          <w:rFonts w:ascii="Georgia" w:hAnsi="Georgia"/>
          <w:b/>
          <w:sz w:val="22"/>
          <w:szCs w:val="22"/>
        </w:rPr>
        <w:t xml:space="preserve">A W-9 identifies the taxpayer.</w:t>
      </w:r>
      <w:r>
        <w:rPr>
          <w:rFonts w:ascii="Georgia" w:hAnsi="Georgia"/>
          <w:sz w:val="22"/>
          <w:szCs w:val="22"/>
        </w:rPr>
        <w:t xml:space="preserve"> For a disregarded entity, use the tax owner's name and taxpayer identification number as the W-9 instructions require, and identify the disregarded entity on line 2.</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requires an EIN for its records</w:t>
      </w:r>
      <w:r>
        <w:rPr>
          <w:rFonts w:ascii="Georgia" w:hAnsi="Georgia"/>
          <w:sz w:val="22"/>
          <w:szCs w:val="22"/>
        </w:rPr>
        <w:t xml:space="preserve"> — a lender, title company, insurer, or property manager. Distinguish that request from a W-9: a W-9 identifies the tax owner under the form's instructions. That tax identification is different from the series' name on its contracts and bank accounts.</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(where the company itself is disregarded, its activity is reported through its tax owner; an individual generally uses the applicable schedules of Form 1040 or 1040-SR, while other owners use their applicable reporting rules).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Administrative dissolution also dissolves the company’s protected series and requires them to wind up; it does not immediately terminate their existence.</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final rule, effective August 14, 2026, retained the exemption for U.S.-formed companies. A Florida LLC formed in Florida does not file a federal beneficial ownership report under that rule, and its owners do not submit one for that company.</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describes the members' continuing managerial and governance obligations and states that the agreement is intended to be an executory contract under 11 U.S.C. §365. Section 11.2 requires the other members' prior written consent before a bankruptcy trustee or debtor in possession may assume or assign a debtor-member's governance or management rights, or cause a substitute to be admitted as a member, under §365(c)(1) and applicable Florida law. This separates control of the company from the economic interest: the section does not limit the bankruptcy estate's interest in the debtor-member's transferable economic interest to the extent permitted by applicable law. It is not a promise that economic rights cannot enter the estate or be sold. The provision's effect depends on applicable law and the bankruptcy court's decision; no drafting guarantees an outcome.</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to the professional-owner eligibility requirements on the professional LLC forms and the eligible-shareholder rule on the S corporation forms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(her first three series are included in the service package);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dissolution by the state for failing to meet statutory requirements. The company continues to exist for winding up, and its protected series must also wind up. Dissolution is not immediate termination; reinstatement can allow the company and its series to resume operations.</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605.0410, 605.0503, 605.0602, 605.0714, 605.1103, 605.04074, 605.2101–605.2802, 711.50–711.512; former s. 212.031 (historical commercial-rent tax); Ch. 726; Prop. Treas. Reg. §301.7701-1(a)(5); FinCEN final rule (effective Aug. 14, 2026; fincen.gov/boi);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