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$50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separate company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percentages or fractions of the whole,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separate company manager: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Article 10 addresses admission of an additional member. Transfer provisions also appear elsewhere in the agreement, including Section 9.3’s shareholder-eligibility restrictions in the S corporation forms and Section 1.4’s ownership requirements for professional companies.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 disregarded company ordinarily becomes a partnership for federal income-tax purposes when a second owner is admitted. An existing S election does not end merely because a second eligible owner joins.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widowControl/>
        <w:spacing w:after="160"/>
        <w:jc w:val="both"/>
      </w:pPr>
      <w:r>
        <w:rPr>
          <w:rFonts w:ascii="Georgia" w:hAnsi="Georgia"/>
          <w:sz w:val="22"/>
          <w:szCs w:val="22"/>
        </w:rPr>
        <w:t xml:space="preserve">If you choose to file a statement of authority, identify the entity that holds the property. A statement concerning property held by the company identifies the company; a statement concerning property held by a protected series identifies that protected series. The company-form instructions below should not be used for a series filing without confirming the Division’s filing requirements for that series.</w:t>
      </w:r>
    </w:p>
    <w:p>
      <w:pPr>
        <w:keepNext/>
        <w:widowControl/>
        <w:spacing w:after="160"/>
        <w:jc w:val="both"/>
      </w:pPr>
      <w:r>
        <w:rPr>
          <w:rFonts w:ascii="Georgia" w:hAnsi="Georgia"/>
          <w:sz w:val="22"/>
          <w:szCs w:val="22"/>
        </w:rPr>
        <w:t xml:space="preserve">For a company filing,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For example, if you use a member-managed, multi-member agreement and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separate federal income-tax return for the disregarded LLC. Its activity is reported through its tax owner. An individual generally uses the applicable schedules of Form 1040 or 1040-SR; other owners use their applicable reporting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an EIN identifies the company for those purposes. </w:t>
      </w:r>
      <w:r>
        <w:rPr>
          <w:rFonts w:ascii="Georgia" w:hAnsi="Georgia"/>
          <w:b/>
          <w:sz w:val="22"/>
          <w:szCs w:val="22"/>
        </w:rPr>
        <w:t xml:space="preserve">A W-9 identifies the taxpayer.</w:t>
      </w:r>
      <w:r>
        <w:rPr>
          <w:rFonts w:ascii="Georgia" w:hAnsi="Georgia"/>
          <w:sz w:val="22"/>
          <w:szCs w:val="22"/>
        </w:rPr>
        <w:t xml:space="preserve"> For a disregarded entity, use the tax owner's name and taxpayer identification number as the W-9 instructions require, and identify the disregarded entity on line 2.</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requires an EIN for its records</w:t>
      </w:r>
      <w:r>
        <w:rPr>
          <w:rFonts w:ascii="Georgia" w:hAnsi="Georgia"/>
          <w:sz w:val="22"/>
          <w:szCs w:val="22"/>
        </w:rPr>
        <w:t xml:space="preserve"> — a lender, title company, insurer, or property manager. Distinguish that request from a W-9: a W-9 identifies the tax owner under the form's instructions. That tax identification is different from the series' name on its contracts and bank accounts.</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(where the company itself is disregarded, its activity is reported through its tax owner; an individual generally uses the applicable schedules of Form 1040 or 1040-SR, while other owners use their applicable reporting rules).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Administrative dissolution also dissolves the company’s protected series and requires them to wind up; it does not immediately terminate their existence.</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final rule, effective August 14, 2026, retained the exemption for U.S.-formed companies. A Florida LLC formed in Florida does not file a federal beneficial ownership report under that rule, and its owners do not submit one for that company.</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describes the members' continuing managerial and governance obligations and states that the agreement is intended to be an executory contract under 11 U.S.C. §365. Section 11.2 requires the other members' prior written consent before a bankruptcy trustee or debtor in possession may assume or assign a debtor-member's governance or management rights, or cause a substitute to be admitted as a member, under §365(c)(1) and applicable Florida law. This separates control of the company from the economic interest: the section does not limit the bankruptcy estate's interest in the debtor-member's transferable economic interest to the extent permitted by applicable law. It is not a promise that economic rights cannot enter the estate or be sold. The provision's effect depends on applicable law and the bankruptcy court's decision; no drafting guarantees an outcome.</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to the professional-owner eligibility requirements on the professional LLC forms and the eligible-shareholder rule on the S corporation forms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(her first three series are included in the service package);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dissolution by the state for failing to meet statutory requirements. The company continues to exist for winding up, and its protected series must also wind up. Dissolution is not immediate termination; reinstatement can allow the company and its series to resume operations.</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605.0410, 605.0503, 605.0602, 605.0714, 605.1103, 605.04074, 605.2101–605.2802, 711.50–711.512; former s. 212.031 (historical commercial-rent tax); Ch. 726; Prop. Treas. Reg. §301.7701-1(a)(5); FinCEN final rule (effective Aug. 14, 2026; fincen.gov/boi);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