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(manager-managed forms only) — the manager. The manager does not have to be an owner. The member-managed forms have no manager: the members manage directly, and one of them is designated Administrative Member under §5.8 to handle ministerial tasks, with no authority to decide anything on the members' behalf.</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§5.4(f)) — the dollar amount of debt that may be incurred without the written consent of every owner: by the manager in the manager-managed forms, by any member acting alone in the member-managed forms. Above this number, any one owner can refuse.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each owner register a transfer-on-death (TOD) beneficiary on Exhibit A, using Florida's registration-in-beneficiary-form statute (ss. 711.50–711.512). At the owner's death, the designated beneficiary takes the interest directly — no probate — subject to the agreement. Any person or entity may be designated.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death does not bypass the same controls that govern lifetime transfers.</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to the manager.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and in every form, the manager (or administrative member) may update Exhibit A and the Series Exhibits without further consent solely to record changes already made under the agreement — admissions, transfers, TOD designations, capital adjustments.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v2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