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or fractions of the whole, as set forth on Exhibit A;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w:t>
      </w:r>
      <w:r>
        <w:rPr>
          <w:rStyle w:val="DraftingChoice"/>
          <w:rFonts w:ascii="Times New Roman" w:hAnsi="Times New Roman"/>
          <w:i/>
          <w:sz w:val="24"/>
          <w:szCs w:val="24"/>
        </w:rPr>
        <w:t xml:space="preserve">[One manager: </w:t>
      </w:r>
      <w:r>
        <w:rPr>
          <w:rFonts w:ascii="Times New Roman" w:hAnsi="Times New Roman"/>
          <w:sz w:val="24"/>
          <w:szCs w:val="24"/>
        </w:rPr>
        <w:t xml:space="preserve">The initial Manager is [MANAGER NAMES].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sz w:val="24"/>
          <w:szCs w:val="24"/>
        </w:rPr>
        <w:t xml:space="preserve">The initial Managers are [MANAGER NAMES].</w:t>
      </w:r>
      <w:r>
        <w:rPr>
          <w:rStyle w:val="DraftingChoice"/>
          <w:rFonts w:ascii="Times New Roman" w:hAnsi="Times New Roman"/>
          <w:i/>
          <w:sz w:val="24"/>
          <w:szCs w:val="24"/>
        </w:rPr>
        <w:t xml:space="preserve">]</w:t>
      </w:r>
      <w:r>
        <w:rPr>
          <w:rFonts w:ascii="Times New Roman" w:hAnsi="Times New Roman"/>
          <w:sz w:val="24"/>
          <w:szCs w:val="24"/>
        </w:rPr>
        <w:t xml:space="preserve">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articles of protected series dissolution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taken without the approval Section 5.4 requires;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acts without the approval Section 5.4 requires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a statement of authority to be filed with the Department for the Company or the relevant Protected Series under s. 605.0302, Florida Statutes, stating the authority, or the limitations on the authority, of the Manager, of any Protected Series Manager,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The Members acknowledge that this Agreement imposes continuing managerial and governance obligations and is intended to be an executory contract. Under 11 U.S.C. § 365(c)(1) and applicable Florida law (including Chapter 605 and this Agreement), a trustee or debtor in possession may not assume or assign a debtor Member’s governance or management rights, or cause a substitute to be admitted as a Member, without the prior written consent of the other Members. Nothing in this Section limits the estate’s interest in a Member’s transferable (economic) interest to the extent permitted by applicable law.</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account balances;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MEMBERS:</w:t>
      </w:r>
    </w:p>
    <w:p>
      <w:pPr>
        <w:keepNext/>
        <w:widowControl/>
        <w:spacing w:after="80"/>
        <w:jc w:val="both"/>
      </w:pPr>
      <w:r>
        <w:rPr>
          <w:rStyle w:val="DraftingChoice"/>
          <w:rFonts w:ascii="Times New Roman" w:hAnsi="Times New Roman"/>
          <w:i/>
          <w:sz w:val="24"/>
          <w:szCs w:val="24"/>
        </w:rPr>
        <w:t xml:space="preserve">[If joint ownership unit:]</w:t>
      </w:r>
    </w:p>
    <w:p>
      <w:pPr>
        <w:keepNext/>
        <w:widowControl/>
        <w:spacing w:after="160"/>
        <w:jc w:val="both"/>
      </w:pPr>
      <w:r>
        <w:rPr>
          <w:rFonts w:ascii="Times New Roman" w:hAnsi="Times New Roman"/>
          <w:b/>
          <w:sz w:val="24"/>
          <w:szCs w:val="24"/>
        </w:rPr>
        <w:t xml:space="preserve">[UNIT]</w:t>
      </w:r>
    </w:p>
    <w:p>
      <w:pPr>
        <w:keepNext/>
        <w:widowControl/>
        <w:spacing w:after="160"/>
        <w:jc w:val="both"/>
      </w:pPr>
      <w:r>
        <w:rPr>
          <w:rFonts w:ascii="Times New Roman" w:hAnsi="Times New Roman"/>
          <w:sz w:val="24"/>
          <w:szCs w:val="24"/>
        </w:rPr>
        <w:t xml:space="preserve">[HOLDING]</w:t>
      </w:r>
    </w:p>
    <w:p>
      <w:pPr>
        <w:widowControl/>
        <w:spacing w:after="80"/>
        <w:jc w:val="both"/>
      </w:pPr>
      <w:r>
        <w:rPr>
          <w:rStyle w:val="DraftingChoice"/>
          <w:rFonts w:ascii="Times New Roman" w:hAnsi="Times New Roman"/>
          <w:i/>
          <w:sz w:val="24"/>
          <w:szCs w:val="24"/>
        </w:rPr>
        <w:t xml:space="preserve">[End if joint ownership unit.]</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widowControl/>
        <w:spacing w:after="16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ACKNOWLEDGED AND AGREED BY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ACKNOWLEDGED AND AGREED BY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w:t>
            </w:r>
            <w:r>
              <w:rPr>
                <w:rStyle w:val="DraftingChoice"/>
                <w:rFonts w:ascii="Times New Roman" w:hAnsi="Times New Roman"/>
                <w:i/>
                <w:sz w:val="22"/>
                <w:szCs w:val="22"/>
              </w:rPr>
              <w:t xml:space="preserve">[If joint holding: </w:t>
            </w:r>
            <w:r>
              <w:rPr>
                <w:rFonts w:ascii="Times New Roman" w:hAnsi="Times New Roman"/>
                <w:sz w:val="22"/>
                <w:szCs w:val="22"/>
              </w:rPr>
              <w:t xml:space="preserve">as [HOLDING]</w:t>
            </w:r>
            <w:r>
              <w:rPr>
                <w:rStyle w:val="DraftingChoice"/>
                <w:rFonts w:ascii="Times New Roman" w:hAnsi="Times New Roman"/>
                <w:i/>
                <w:sz w:val="22"/>
                <w:szCs w:val="22"/>
              </w:rPr>
              <w:t xml:space="preserv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w:t>
            </w:r>
            <w:r>
              <w:rPr>
                <w:rStyle w:val="DraftingChoice"/>
                <w:rFonts w:ascii="Times New Roman" w:hAnsi="Times New Roman"/>
                <w:i/>
                <w:sz w:val="22"/>
                <w:szCs w:val="22"/>
              </w:rPr>
              <w:t xml:space="preserve">[If married couple: </w:t>
            </w:r>
            <w:r>
              <w:rPr>
                <w:rFonts w:ascii="Times New Roman" w:hAnsi="Times New Roman"/>
                <w:sz w:val="22"/>
                <w:szCs w:val="22"/>
              </w:rPr>
              <w:t xml:space="preserve">(effective at the death of the last surviving spouse)</w:t>
            </w:r>
            <w:r>
              <w:rPr>
                <w:rStyle w:val="DraftingChoice"/>
                <w:rFonts w:ascii="Times New Roman" w:hAnsi="Times New Roman"/>
                <w:i/>
                <w:sz w:val="22"/>
                <w:szCs w:val="22"/>
              </w:rPr>
              <w:t xml:space="preserv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series purpose: </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widowControl/>
        <w:spacing w:after="16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Adopted effective [DATE] by the Company, acting through its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Adopted effective [DATE] by the Company, acting through its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Protected Series Manager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in this form: ss. 48.062, 605.0102, 605.0302, 605.0502, 605.0503, 605.0702, 605.2101, 605.2103, 605.2107, 605.2201, 605.2301, 605.2302, 605.2303, 605.2304, 605.2401, 605.2602, 605.2605, 605.2607, 605.2802, 605.04074, 605.04091, 711.50, 711.501, 711.512, Fla. Stat.; 11 U.S.C. §365; In re Soderstrom, 484 B.R. 874 (M.D. Fla. 2013). Internal Revenue Code sections: 704, 754, 6221, 6223, 6226.</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