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Accordingly: (i) every record of the Company or of a Protected Series — this Agreement, each Series Exhibit, each asset schedule, and its account, titling, tax, insurance, and transaction records — may be read together and in combination,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