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Single Member)</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1.10A Membership Interest.</w:t>
      </w:r>
      <w:r>
        <w:rPr>
          <w:rFonts w:ascii="Times New Roman" w:hAnsi="Times New Roman"/>
          <w:sz w:val="24"/>
          <w:szCs w:val="24"/>
        </w:rPr>
        <w:t xml:space="preserve"> The Member's interest in the Company is personal property for all purposes.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The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keepLines/>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2.12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keepLines/>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all members of the Company (which, while the Member is the sole member, means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THE MEMBER; MEMBERSHIP INTEREST</w:t>
      </w:r>
    </w:p>
    <w:p>
      <w:pPr>
        <w:keepLines/>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keepLines/>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keepLines/>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protected-series managers, which are not varied by this Agreement.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5.6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keepLines/>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DISTRIBUTIONS</w:t>
      </w:r>
    </w:p>
    <w:p>
      <w:pPr>
        <w:keepLines/>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to the Member (or, in the case of a Protected Series, to the Company).</w:t>
      </w:r>
    </w:p>
    <w:p>
      <w:pPr>
        <w:keepLines/>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and distributions in respect of the Company shall be made solely from the Associated Assets of the Company.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Accordingly: (i) every record of the Company or of a Protected Series — this Agreement, each Series Exhibit, each asset schedule, and its account, titling, tax, insurance, and transaction records — may be read together and in combination,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and each Protected Series each be disregarded as an entity separate from the Member for federal income tax purposes, and that all items of income, gain, loss, deduction, and credit be reported directly by the Member. The classification of the Company and of each Protected Series shall in all events be determined under federal tax law as applied to each of them, and nothing in this Agreement constitutes tax advice or a guarantee of any particular tax treatment.</w:t>
      </w:r>
    </w:p>
    <w:p>
      <w:pPr>
        <w:keepLines/>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keepLines/>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Lines/>
        <w:widowControl/>
        <w:spacing w:after="160"/>
        <w:jc w:val="both"/>
      </w:pPr>
      <w:r>
        <w:rPr>
          <w:rFonts w:ascii="Times New Roman" w:hAnsi="Times New Roman"/>
          <w:b/>
          <w:sz w:val="24"/>
          <w:szCs w:val="24"/>
        </w:rPr>
        <w:t xml:space="preserve">9.4 Change in Circumstances.</w:t>
      </w:r>
      <w:r>
        <w:rPr>
          <w:rFonts w:ascii="Times New Roman" w:hAnsi="Times New Roman"/>
          <w:sz w:val="24"/>
          <w:szCs w:val="24"/>
        </w:rPr>
        <w:t xml:space="preserve"> If any Protected Series or the Company ceases to qualify for disregarded treatment (including upon the admission of an additional member or the association of an additional person with any Protected Series), the Member and the Manager shall amend this Agreement (or adopt the Company's partnership-form operating agreement) as provided in Article 11 before or promptly upon the change.</w:t>
      </w:r>
    </w:p>
    <w:p>
      <w:pPr>
        <w:keepLines/>
        <w:widowControl/>
        <w:spacing w:after="160"/>
        <w:jc w:val="both"/>
      </w:pPr>
      <w:r>
        <w:rPr>
          <w:rFonts w:ascii="Times New Roman" w:hAnsi="Times New Roman"/>
          <w:b/>
          <w:sz w:val="24"/>
          <w:szCs w:val="24"/>
        </w:rPr>
        <w:t xml:space="preserve">9.5 S Corporation Election.</w:t>
      </w:r>
      <w:r>
        <w:rPr>
          <w:rFonts w:ascii="Times New Roman" w:hAnsi="Times New Roman"/>
          <w:sz w:val="24"/>
          <w:szCs w:val="24"/>
        </w:rPr>
        <w:t xml:space="preserve"> The Member may cause the Company to elect classification as an association taxable as a corporation and S corporation status under section 1362 of the Code. Before or promptly upon making any such election, the Member shall amend and restate this Agreement in the Company's S corporation form of operating agreement, under which all allocations and distributions are made strictly pro rata and every ownership interest confers identical rights to distributions and liquidation proceeds.</w:t>
      </w:r>
    </w:p>
    <w:p>
      <w:pPr>
        <w:keepLines/>
        <w:widowControl/>
        <w:spacing w:after="160"/>
        <w:jc w:val="both"/>
      </w:pPr>
      <w:r>
        <w:rPr>
          <w:rFonts w:ascii="Times New Roman" w:hAnsi="Times New Roman"/>
          <w:sz w:val="24"/>
          <w:szCs w:val="24"/>
        </w:rPr>
        <w:t xml:space="preserve">From the effective date of any such election, and whether or not this Agreement has yet been amended and restated, it is the express intent of the Member that the Company qualify at all times as a small business corporation eligible for a valid election under section 1362 of the Code and that the election remain in effect; any provision of this Agreement, of any Series Exhibit, or of any other agreement relating to the Company or any Protected Series that would cause the election to be invalid or to terminate is null and void ab initio and shall be given no force or effect for any purpose; and, to the extent any provision can be conformed rather than voided, this Agreement shall be applied and, to the minimum extent necessary, deemed modified so as to preserve the validity of the election. If the election nonetheless terminates or is determined to be invalid, the Member shall cooperate to obtain relief for an inadvertent termination or invalid election under section 1362(f) of the Code.</w:t>
      </w:r>
    </w:p>
    <w:p>
      <w:pPr>
        <w:keepNext/>
        <w:keepLines/>
        <w:widowControl/>
        <w:spacing w:before="240" w:after="0"/>
      </w:pPr>
      <w:r>
        <w:rPr>
          <w:rFonts w:ascii="Times New Roman" w:hAnsi="Times New Roman"/>
          <w:b/>
          <w:sz w:val="26"/>
          <w:szCs w:val="26"/>
        </w:rPr>
        <w:t xml:space="preserve">ARTICLE 10 — TRANSFERS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The Member shall not Transfer all or any portion of the Membership Interest, or any right to receive distributions from the Company or any Protected Series, except (a) a Transfer to an Immediate Family Member made in compliance with Section 10.2, (b) a Transfer effective at death pursuant to the TOD designation under Section 4.6, or (c) another Transfer approved in writing by the Member and reflected in an amendment to Exhibit A.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the Membership Interest to an Immediate Family Member is permitted, provided the transferee delivers to the Company a signed agreement to be bound by this Agreement. A transferee (other than a person admitted as a member under Section 11.1) holds only the transferable interest — the right to receive distributions that would otherwise be paid to the Member with respect to the transferred interest — and has no right to participate in management, to inspect records, or to exercise any other right of a member.</w:t>
      </w:r>
    </w:p>
    <w:p>
      <w:pPr>
        <w:keepLines/>
        <w:widowControl/>
        <w:spacing w:after="160"/>
        <w:jc w:val="both"/>
      </w:pPr>
      <w:r>
        <w:rPr>
          <w:rFonts w:ascii="Times New Roman" w:hAnsi="Times New Roman"/>
          <w:b/>
          <w:sz w:val="24"/>
          <w:szCs w:val="24"/>
        </w:rPr>
        <w:t xml:space="preserve">10.3 No Dissociation by Transfer Alone.</w:t>
      </w:r>
      <w:r>
        <w:rPr>
          <w:rFonts w:ascii="Times New Roman" w:hAnsi="Times New Roman"/>
          <w:sz w:val="24"/>
          <w:szCs w:val="24"/>
        </w:rPr>
        <w:t xml:space="preserve"> A Transfer does not by itself dissociate the Member or dissolve the Company or any Protected Series.</w:t>
      </w:r>
    </w:p>
    <w:p>
      <w:pPr>
        <w:keepNext/>
        <w:keepLines/>
        <w:widowControl/>
        <w:spacing w:before="240" w:after="0"/>
      </w:pPr>
      <w:r>
        <w:rPr>
          <w:rFonts w:ascii="Times New Roman" w:hAnsi="Times New Roman"/>
          <w:b/>
          <w:sz w:val="26"/>
          <w:szCs w:val="26"/>
        </w:rPr>
        <w:t xml:space="preserve">ARTICLE 11 — ADMISSION OF ADDITIONAL MEMBERS</w:t>
      </w:r>
    </w:p>
    <w:p>
      <w:pPr>
        <w:keepLines/>
        <w:widowControl/>
        <w:spacing w:after="160"/>
        <w:jc w:val="both"/>
      </w:pPr>
      <w:r>
        <w:rPr>
          <w:rFonts w:ascii="Times New Roman" w:hAnsi="Times New Roman"/>
          <w:b/>
          <w:sz w:val="24"/>
          <w:szCs w:val="24"/>
        </w:rPr>
        <w:t xml:space="preserve">11.1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keepLines/>
        <w:widowControl/>
        <w:spacing w:after="160"/>
        <w:jc w:val="both"/>
      </w:pPr>
      <w:r>
        <w:rPr>
          <w:rFonts w:ascii="Times New Roman" w:hAnsi="Times New Roman"/>
          <w:b/>
          <w:sz w:val="24"/>
          <w:szCs w:val="24"/>
        </w:rPr>
        <w:t xml:space="preserve">11.2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11.3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12 — DISSOLUTION AND WINDING UP</w:t>
      </w:r>
    </w:p>
    <w:p>
      <w:pPr>
        <w:keepLines/>
        <w:widowControl/>
        <w:spacing w:after="160"/>
        <w:jc w:val="both"/>
      </w:pPr>
      <w:r>
        <w:rPr>
          <w:rFonts w:ascii="Times New Roman" w:hAnsi="Times New Roman"/>
          <w:b/>
          <w:sz w:val="24"/>
          <w:szCs w:val="24"/>
        </w:rPr>
        <w:t xml:space="preserve">12.1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b/>
          <w:sz w:val="24"/>
          <w:szCs w:val="24"/>
        </w:rPr>
        <w:t xml:space="preserve">12.2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12.3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12.4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12.2,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12.5 No Deficit Obligation; Recourse Limited.</w:t>
      </w:r>
      <w:r>
        <w:rPr>
          <w:rFonts w:ascii="Times New Roman" w:hAnsi="Times New Roman"/>
          <w:sz w:val="24"/>
          <w:szCs w:val="24"/>
        </w:rPr>
        <w:t xml:space="preserve"> The Member shall have no obligation to restore any deficit or to contribute capital in connection with any winding up,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13 — AMENDMENTS; CONSENTS</w:t>
      </w:r>
    </w:p>
    <w:p>
      <w:pPr>
        <w:keepLines/>
        <w:widowControl/>
        <w:spacing w:after="160"/>
        <w:jc w:val="both"/>
      </w:pPr>
      <w:r>
        <w:rPr>
          <w:rFonts w:ascii="Times New Roman" w:hAnsi="Times New Roman"/>
          <w:b/>
          <w:sz w:val="24"/>
          <w:szCs w:val="24"/>
        </w:rPr>
        <w:t xml:space="preserve">13.1 Amendments.</w:t>
      </w:r>
      <w:r>
        <w:rPr>
          <w:rFonts w:ascii="Times New Roman" w:hAnsi="Times New Roman"/>
          <w:sz w:val="24"/>
          <w:szCs w:val="24"/>
        </w:rPr>
        <w:t xml:space="preserve"> This Agreement, including any Series Exhibit, may be amended only by a written instrument signed by the Member; provided, that any amendment changing the rights or obligations of the Manager may not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13.2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keepLines/>
        <w:widowControl/>
        <w:spacing w:before="240" w:after="0"/>
      </w:pPr>
      <w:r>
        <w:rPr>
          <w:rFonts w:ascii="Times New Roman" w:hAnsi="Times New Roman"/>
          <w:b/>
          <w:sz w:val="26"/>
          <w:szCs w:val="26"/>
        </w:rPr>
        <w:t xml:space="preserve">ARTICLE 14 — MISCELLANEOUS</w:t>
      </w:r>
    </w:p>
    <w:p>
      <w:pPr>
        <w:keepLines/>
        <w:widowControl/>
        <w:spacing w:after="160"/>
        <w:jc w:val="both"/>
      </w:pPr>
      <w:r>
        <w:rPr>
          <w:rFonts w:ascii="Times New Roman" w:hAnsi="Times New Roman"/>
          <w:b/>
          <w:sz w:val="24"/>
          <w:szCs w:val="24"/>
        </w:rPr>
        <w:t xml:space="preserve">14.1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14.2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14.3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14.4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14.5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14.6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14.7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14.8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14.9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14.10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 CONTRIBUTIONS; TOD DESIGNATION</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verified against Online Sunshine on August 3, 2026: ss. 605.2103, 605.2107, 605.2201, 605.2202, 605.2301, 605.2401, 605.2501, 605.2604, 48.062, 711.50–711.512, Fla. Stat.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