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the document transfers only a single-family dwelling. Transferring </w:t>
      </w:r>
      <w:r>
        <w:rPr>
          <w:rFonts w:ascii="Georgia" w:hAnsi="Georgia"/>
          <w:i/>
          <w:sz w:val="22"/>
          <w:szCs w:val="22"/>
        </w:rPr>
        <w:t xml:space="preserve">mortgaged</w:t>
      </w:r>
      <w:r>
        <w:rPr>
          <w:rFonts w:ascii="Georgia" w:hAnsi="Georgia"/>
          <w:sz w:val="22"/>
          <w:szCs w:val="22"/>
        </w:rPr>
        <w:t xml:space="preserve"> property to your own entity can produce taxable consideration even when no cash changes hands. At the 70-cent rate outside Miami-Dade, $300,000 of taxable consideration produces $2,100 in tax. An unencumbered property transferred for no consideration is a different analysis. Confirm the consideration, rate, and any exemption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on the S corporation forms to the eligible-shareholder rule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 605.2605–605.2607),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