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4.10.</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or Manager makes any representation regarding the tax consequences of the protected series structure.</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