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w:t>
      </w:r>
      <w:r>
        <w:rPr>
          <w:rFonts w:ascii="Times New Roman" w:hAnsi="Times New Roman"/>
          <w:sz w:val="24"/>
          <w:szCs w:val="24"/>
        </w:rPr>
        <w:t xml:space="preserve"> Title to each Associated Asset of a Protected Series shall be acquired, held, and conveyed </w:t>
      </w:r>
      <w:r>
        <w:rPr>
          <w:rFonts w:ascii="Times New Roman" w:hAnsi="Times New Roman"/>
          <w:b/>
          <w:sz w:val="24"/>
          <w:szCs w:val="24"/>
        </w:rPr>
        <w:t xml:space="preserve">in the name of that Protected Series</w:t>
      </w:r>
      <w:r>
        <w:rPr>
          <w:rFonts w:ascii="Times New Roman" w:hAnsi="Times New Roman"/>
          <w:sz w:val="24"/>
          <w:szCs w:val="24"/>
        </w:rPr>
        <w:t xml:space="preserve">. Title to each Associated Asset of the Company shall be acquired, held, and conveyed in the name of the Company. No property of the Company or of any Protected Series shall be held in the individual name of any Member.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