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Amendment No. 1 to the Green Coffee Supply Agreement</w:t>
      </w:r>
    </w:p>
    <w:p>
      <w:r>
        <w:t>This Amendment is made on 20 April 2026 between Cedar Lane Coffee Roasters Ltd (the "Buyer") and Finca Alta Trading S.L. (the "Supplier") and amends the Green Coffee Supply Agreement dated 1 February 2026 (the "Agreement").</w:t>
      </w:r>
    </w:p>
    <w:p>
      <w:pPr>
        <w:pStyle w:val="Heading2"/>
      </w:pPr>
      <w:r>
        <w:t>1. Changes</w:t>
      </w:r>
    </w:p>
    <w:p>
      <w:r>
        <w:t>1.1 Clause 2.2 is replaced with: "The Buyer shall order a minimum of 350 kg per calendar month. Orders below the minimum are invoiced at the minimum quantity."</w:t>
      </w:r>
    </w:p>
    <w:p>
      <w:r>
        <w:t>1.2 Clause 3.1 is replaced with: "The price is GBP 9.85 per kg, excluding VAT, delivered to the Buyer's roastery. Freight and packaging are invoiced separately at cost." This change applies to orders confirmed on or after 1 May 2026.</w:t>
      </w:r>
    </w:p>
    <w:p>
      <w:r>
        <w:t>1.3 In clause 1.2, "90 days" is replaced with "120 days".</w:t>
      </w:r>
    </w:p>
    <w:p>
      <w:r>
        <w:t>1.4 A new clause 2.4 is added: "The Supplier shall deliver green coffee in 30 kg GrainPro-lined jute bags, marked with grade, lot number, and harvest year."</w:t>
      </w:r>
    </w:p>
    <w:p>
      <w:pPr>
        <w:pStyle w:val="Heading2"/>
      </w:pPr>
      <w:r>
        <w:t>2. No other change</w:t>
      </w:r>
    </w:p>
    <w:p>
      <w:r>
        <w:t>2.1 All other terms of the Agreement remain unchanged. In case of conflict, this Amendment prevails.</w:t>
      </w:r>
    </w:p>
    <w:p>
      <w:pPr>
        <w:pStyle w:val="Heading2"/>
      </w:pPr>
      <w:r>
        <w:t>Signatures</w:t>
      </w:r>
    </w:p>
    <w:p>
      <w:r>
        <w:t>Signed for the Buyer: R. Okafor, Managing Director, dated 20 April 2026.</w:t>
      </w:r>
    </w:p>
    <w:p>
      <w:r>
        <w:t>Signed for the Supplier: M. Ferrer, Director, dated 20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