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Green Coffee Supply Agreement</w:t>
      </w:r>
    </w:p>
    <w:p>
      <w:r>
        <w:t>This Agreement is made on 1 February 2026 between Cedar Lane Coffee Roasters Ltd, 14 Cedar Lane, Bristol BS1 4QT (the "Buyer") and Finca Alta Trading S.L., Calle Mayor 22, Valencia, Spain (the "Supplier").</w:t>
      </w:r>
    </w:p>
    <w:p>
      <w:pPr>
        <w:pStyle w:val="Heading2"/>
      </w:pPr>
      <w:r>
        <w:t>1. Term</w:t>
      </w:r>
    </w:p>
    <w:p>
      <w:r>
        <w:t>1.1 This Agreement starts on the Effective Date of 1 February 2026 and continues for an initial term of 12 months.</w:t>
      </w:r>
    </w:p>
    <w:p>
      <w:r>
        <w:t>1.2 After the initial term, this Agreement renews automatically for further periods of 12 months unless either party gives written notice of non-renewal at least 90 days before the end of the current term.</w:t>
      </w:r>
    </w:p>
    <w:p>
      <w:pPr>
        <w:pStyle w:val="Heading2"/>
      </w:pPr>
      <w:r>
        <w:t>2. Supply and Minimum Order</w:t>
      </w:r>
    </w:p>
    <w:p>
      <w:r>
        <w:t>2.1 The Supplier shall supply green coffee beans of the grades listed in Schedule 1.</w:t>
      </w:r>
    </w:p>
    <w:p>
      <w:r>
        <w:t>2.2 The Buyer shall order a minimum of 400 kg per calendar month. Orders below the minimum are invoiced at the minimum quantity.</w:t>
      </w:r>
    </w:p>
    <w:p>
      <w:r>
        <w:t>2.3 The Supplier shall deliver each order to the Buyer's roastery within 10 business days after the order confirmation.</w:t>
      </w:r>
    </w:p>
    <w:p>
      <w:pPr>
        <w:pStyle w:val="Heading2"/>
      </w:pPr>
      <w:r>
        <w:t>3. Price</w:t>
      </w:r>
    </w:p>
    <w:p>
      <w:r>
        <w:t>3.1 The price is GBP 9.40 per kg, excluding VAT, delivered to the Buyer's roastery. Freight and packaging are invoiced separately at cost.</w:t>
      </w:r>
    </w:p>
    <w:p>
      <w:r>
        <w:t>3.2 The Supplier may change the price once per year with 60 days' written notice.</w:t>
      </w:r>
    </w:p>
    <w:p>
      <w:pPr>
        <w:pStyle w:val="Heading2"/>
      </w:pPr>
      <w:r>
        <w:t>4. Quality</w:t>
      </w:r>
    </w:p>
    <w:p>
      <w:r>
        <w:t>4.1 The Buyer shall inspect each delivery and notify the Supplier of any quality claim within 5 business days after delivery. Claims made later are waived.</w:t>
      </w:r>
    </w:p>
    <w:p>
      <w:r>
        <w:t>4.2 The Supplier shall replace rejected goods within 15 business days at no additional cost.</w:t>
      </w:r>
    </w:p>
    <w:p>
      <w:pPr>
        <w:pStyle w:val="Heading2"/>
      </w:pPr>
      <w:r>
        <w:t>5. Payment</w:t>
      </w:r>
    </w:p>
    <w:p>
      <w:r>
        <w:t>5.1 The Buyer shall pay each invoice within 30 days after the invoice date by bank transfer.</w:t>
      </w:r>
    </w:p>
    <w:p>
      <w:r>
        <w:t>5.2 Late payment bears interest at 4% per year above the Bank of England base rate.</w:t>
      </w:r>
    </w:p>
    <w:p>
      <w:pPr>
        <w:pStyle w:val="Heading2"/>
      </w:pPr>
      <w:r>
        <w:t>6. Insurance</w:t>
      </w:r>
    </w:p>
    <w:p>
      <w:r>
        <w:t>6.1 The Supplier shall maintain product liability insurance of at least GBP 1,000,000 per claim during the term and provide a certificate on request.</w:t>
      </w:r>
    </w:p>
    <w:p>
      <w:pPr>
        <w:pStyle w:val="Heading2"/>
      </w:pPr>
      <w:r>
        <w:t>7. Termination</w:t>
      </w:r>
    </w:p>
    <w:p>
      <w:r>
        <w:t>7.1 Either party may terminate this Agreement for convenience with 60 days' written notice.</w:t>
      </w:r>
    </w:p>
    <w:p>
      <w:r>
        <w:t>7.2 Either party may terminate immediately if the other party fails to remedy a material breach within 20 days after written notice.</w:t>
      </w:r>
    </w:p>
    <w:p>
      <w:pPr>
        <w:pStyle w:val="Heading2"/>
      </w:pPr>
      <w:r>
        <w:t>8. Confidentiality</w:t>
      </w:r>
    </w:p>
    <w:p>
      <w:r>
        <w:t>8.1 Each party shall keep the other party's pricing and volumes confidential for 3 years after termination.</w:t>
      </w:r>
    </w:p>
    <w:p>
      <w:pPr>
        <w:pStyle w:val="Heading2"/>
      </w:pPr>
      <w:r>
        <w:t>9. General</w:t>
      </w:r>
    </w:p>
    <w:p>
      <w:r>
        <w:t>9.1 This Agreement is governed by the laws of England and Wales.</w:t>
      </w:r>
    </w:p>
    <w:p>
      <w:r>
        <w:t>9.2 The packaging specifications in Schedule 2 form part of this Agreement.</w:t>
      </w:r>
    </w:p>
    <w:p>
      <w:r>
        <w:t>9.3 Any change to this Agreement must be in writing and signed by both parties. Finca Alta Trading S.A. shall notify the Buyer of any change of its registered address within 14 days.</w:t>
      </w:r>
    </w:p>
    <w:p>
      <w:pPr>
        <w:pStyle w:val="Heading2"/>
      </w:pPr>
      <w:r>
        <w:t>Schedule 1 - Grades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Grade</w:t>
            </w:r>
          </w:p>
        </w:tc>
        <w:tc>
          <w:tcPr>
            <w:tcW w:type="dxa" w:w="2160"/>
          </w:tcPr>
          <w:p>
            <w:r>
              <w:t>Origin</w:t>
            </w:r>
          </w:p>
        </w:tc>
        <w:tc>
          <w:tcPr>
            <w:tcW w:type="dxa" w:w="2160"/>
          </w:tcPr>
          <w:p>
            <w:r>
              <w:t>Screen size</w:t>
            </w:r>
          </w:p>
        </w:tc>
        <w:tc>
          <w:tcPr>
            <w:tcW w:type="dxa" w:w="2160"/>
          </w:tcPr>
          <w:p>
            <w:r>
              <w:t>Moisture</w:t>
            </w:r>
          </w:p>
        </w:tc>
      </w:tr>
      <w:tr>
        <w:tc>
          <w:tcPr>
            <w:tcW w:type="dxa" w:w="2160"/>
          </w:tcPr>
          <w:p>
            <w:r>
              <w:t>A</w:t>
            </w:r>
          </w:p>
        </w:tc>
        <w:tc>
          <w:tcPr>
            <w:tcW w:type="dxa" w:w="2160"/>
          </w:tcPr>
          <w:p>
            <w:r>
              <w:t>Colombia Huila</w:t>
            </w:r>
          </w:p>
        </w:tc>
        <w:tc>
          <w:tcPr>
            <w:tcW w:type="dxa" w:w="2160"/>
          </w:tcPr>
          <w:p>
            <w:r>
              <w:t>17/18</w:t>
            </w:r>
          </w:p>
        </w:tc>
        <w:tc>
          <w:tcPr>
            <w:tcW w:type="dxa" w:w="2160"/>
          </w:tcPr>
          <w:p>
            <w:r>
              <w:t>max 12%</w:t>
            </w:r>
          </w:p>
        </w:tc>
      </w:tr>
      <w:tr>
        <w:tc>
          <w:tcPr>
            <w:tcW w:type="dxa" w:w="2160"/>
          </w:tcPr>
          <w:p>
            <w:r>
              <w:t>B</w:t>
            </w:r>
          </w:p>
        </w:tc>
        <w:tc>
          <w:tcPr>
            <w:tcW w:type="dxa" w:w="2160"/>
          </w:tcPr>
          <w:p>
            <w:r>
              <w:t>Brazil Cerrado</w:t>
            </w:r>
          </w:p>
        </w:tc>
        <w:tc>
          <w:tcPr>
            <w:tcW w:type="dxa" w:w="2160"/>
          </w:tcPr>
          <w:p>
            <w:r>
              <w:t>16</w:t>
            </w:r>
          </w:p>
        </w:tc>
        <w:tc>
          <w:tcPr>
            <w:tcW w:type="dxa" w:w="2160"/>
          </w:tcPr>
          <w:p>
            <w:r>
              <w:t>max 12%</w:t>
            </w:r>
          </w:p>
        </w:tc>
      </w:tr>
      <w:tr>
        <w:tc>
          <w:tcPr>
            <w:tcW w:type="dxa" w:w="2160"/>
          </w:tcPr>
          <w:p>
            <w:r>
              <w:t>C</w:t>
            </w:r>
          </w:p>
        </w:tc>
        <w:tc>
          <w:tcPr>
            <w:tcW w:type="dxa" w:w="2160"/>
          </w:tcPr>
          <w:p>
            <w:r>
              <w:t>Ethiopia Sidamo</w:t>
            </w:r>
          </w:p>
        </w:tc>
        <w:tc>
          <w:tcPr>
            <w:tcW w:type="dxa" w:w="2160"/>
          </w:tcPr>
          <w:p>
            <w:r>
              <w:t>15</w:t>
            </w:r>
          </w:p>
        </w:tc>
        <w:tc>
          <w:tcPr>
            <w:tcW w:type="dxa" w:w="2160"/>
          </w:tcPr>
          <w:p>
            <w:r>
              <w:t>max 11.5%</w:t>
            </w:r>
          </w:p>
        </w:tc>
      </w:tr>
    </w:tbl>
    <w:p>
      <w:pPr>
        <w:pStyle w:val="Heading2"/>
      </w:pPr>
      <w:r>
        <w:t>Signatures</w:t>
      </w:r>
    </w:p>
    <w:p>
      <w:r>
        <w:t>Signed for the Buyer: R. Okafor, Managing Director, dated 1 March 2026.</w:t>
      </w:r>
    </w:p>
    <w:p>
      <w:r>
        <w:t>Signed for the Supplier: M. Ferrer, Director, dated 1 March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