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of claim - water damage at 14 Cedar Lane</w:t>
      </w:r>
    </w:p>
    <w:p>
      <w:r>
        <w:t>Date: 18 March 2026</w:t>
      </w:r>
    </w:p>
    <w:p>
      <w:r>
        <w:t>To: Harbour Row Estates Ltd, 3 Harbour Row, Bristol BS1 6XA</w:t>
      </w:r>
    </w:p>
    <w:p>
      <w:r>
        <w:t>From: Cedar Lane Coffee Roasters Ltd, 14 Cedar Lane, Bristol BS1 4QT</w:t>
      </w:r>
    </w:p>
    <w:p>
      <w:r>
        <w:t>Re: Lease dated 1 June 2024, unit 14 Cedar Lane - water ingress and damage to stock</w:t>
      </w:r>
    </w:p>
    <w:p>
      <w:r>
        <w:t>On 2 March 2026 our roastery manager, Jonas Weber, found water entering the storage room through the ceiling below the first-floor bathroom, which is within your retained parts. We reported the leak to your property manager, Ms D. Hale, by email on the same day.</w:t>
      </w:r>
    </w:p>
    <w:p>
      <w:r>
        <w:t>Your contractor attended on 12 March 2026 and stopped the leak. By then, 14 bags of green coffee (420 kg) were damaged and cannot be roasted. The replacement cost is GBP 4,138.00, and we lost two days of production on 3 and 4 March 2026.</w:t>
      </w:r>
    </w:p>
    <w:p>
      <w:r>
        <w:t>Under clause 5.2 of the lease you must keep the retained parts, including pipes and drains, in good repair. We ask you to confirm within 14 days that you accept liability for the stock loss of GBP 4,138.00 and the production loss, which we will quantify separately.</w:t>
      </w:r>
    </w:p>
    <w:p>
      <w:r>
        <w:t>Yours faithfully,</w:t>
        <w:br/>
        <w:t>R. Okafor, Managing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