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Class,</w:t>
      </w:r>
      <w:r>
        <w:t xml:space="preserve"> </w:t>
      </w:r>
      <w:r>
        <w:t xml:space="preserve">mobility,</w:t>
      </w:r>
      <w:r>
        <w:t xml:space="preserve"> </w:t>
      </w:r>
      <w:r>
        <w:t xml:space="preserve">and</w:t>
      </w:r>
      <w:r>
        <w:t xml:space="preserve"> </w:t>
      </w:r>
      <w:r>
        <w:t xml:space="preserve">earnings</w:t>
      </w:r>
    </w:p>
    <w:p>
      <w:pPr>
        <w:pStyle w:val="Date"/>
      </w:pPr>
      <w:r>
        <w:t xml:space="preserve">19</w:t>
      </w:r>
      <w:r>
        <w:t xml:space="preserve"> </w:t>
      </w:r>
      <w:r>
        <w:t xml:space="preserve">May</w:t>
      </w:r>
      <w:r>
        <w:t xml:space="preserve"> </w:t>
      </w:r>
      <w:r>
        <w:t xml:space="preserve">2019</w:t>
      </w:r>
    </w:p>
    <w:p>
      <w:pPr>
        <w:pStyle w:val="Heading2"/>
      </w:pPr>
      <w:bookmarkStart w:id="21" w:name="results"/>
      <w:bookmarkEnd w:id="21"/>
      <w:r>
        <w:t xml:space="preserve">Results</w:t>
      </w:r>
    </w:p>
    <w:p>
      <w:pPr>
        <w:pStyle w:val="FirstParagraph"/>
      </w:pPr>
      <w:r>
        <w:t xml:space="preserve">This section outlines the main results of the paper. First, I explore the prominence of mobility in the sample. Second I outline the wage differences between movers and non-movers. Third, I present the results of four fixed-effects linear models which estimate the effect of mobility on earnings, controlling for a range of time-variant measures. For each section, I consider the social class differences in mobility, earnings, and both, as well as the overall differences. I conclude the section with a brief discussion of the hypotheses.</w:t>
      </w:r>
    </w:p>
    <w:p>
      <w:pPr>
        <w:pStyle w:val="Heading3"/>
      </w:pPr>
      <w:bookmarkStart w:id="22" w:name="mobility-types"/>
      <w:bookmarkEnd w:id="22"/>
      <w:r>
        <w:t xml:space="preserve">Mobility types</w:t>
      </w:r>
    </w:p>
    <w:p>
      <w:pPr>
        <w:pStyle w:val="FirstParagraph"/>
      </w:pPr>
      <w:r>
        <w:t xml:space="preserve">Table 1 presents mobility statistics in two ways, between observations, and between respondents. Columns 1, 2, and 3 consider observations. In total, 79% of all responses capture instances where people remain in the same job with the same employer. 4% of observations capture promotions, 1% capture a lateral move, and 15% capture an exit from the firm, either voluntary or involuntary. Columns 4,5, and 6 consider respondents. Between respondents 88% experience staying in the same job with the same employer at least once during the study. Further, 10% experience a promotion at least once, and 3% experience a lateral move (within the firm) at least once. Finally 31% of respondents experience an exit from the firm, wither voluntary or involuntary, at least once during the study.</w:t>
      </w:r>
    </w:p>
    <w:p>
      <w:pPr>
        <w:pStyle w:val="TableCaption"/>
      </w:pPr>
      <w:r>
        <w:t xml:space="preserve">Mobility types, overall</w:t>
      </w:r>
    </w:p>
    <w:tbl>
      <w:tblPr>
        <w:tblStyle w:val="TableNormal"/>
        <w:tblW w:type="pct" w:w="0.0"/>
        <w:tblLook w:firstRow="1"/>
        <w:tblCaption w:val="Mobility types, overall"/>
      </w:tblPr>
      <w:tblGrid/>
      <w:tr>
        <w:trPr>
          <w:cnfStyle w:firstRow="1"/>
        </w:trPr>
        <w:tc>
          <w:tcPr>
            <w:tcBorders>
              <w:bottom w:val="single"/>
            </w:tcBorders>
            <w:vAlign w:val="bottom"/>
          </w:tcPr>
          <w:p>
            <w:pPr>
              <w:pStyle w:val="Compact"/>
              <w:jc w:val="left"/>
            </w:pPr>
            <w:r>
              <w:t xml:space="preserve">Mobility type</w:t>
            </w:r>
          </w:p>
        </w:tc>
        <w:tc>
          <w:tcPr>
            <w:tcBorders>
              <w:bottom w:val="single"/>
            </w:tcBorders>
            <w:vAlign w:val="bottom"/>
          </w:tcPr>
          <w:p>
            <w:pPr>
              <w:pStyle w:val="Compact"/>
              <w:jc w:val="right"/>
            </w:pPr>
            <w:r>
              <w:t xml:space="preserve">Observations</w:t>
            </w:r>
          </w:p>
        </w:tc>
        <w:tc>
          <w:tcPr>
            <w:tcBorders>
              <w:bottom w:val="single"/>
            </w:tcBorders>
            <w:vAlign w:val="bottom"/>
          </w:tcPr>
          <w:p>
            <w:pPr>
              <w:pStyle w:val="Compact"/>
              <w:jc w:val="right"/>
            </w:pPr>
            <w:r>
              <w:t xml:space="preserve">Total</w:t>
            </w:r>
          </w:p>
        </w:tc>
        <w:tc>
          <w:tcPr>
            <w:tcBorders>
              <w:bottom w:val="single"/>
            </w:tcBorders>
            <w:vAlign w:val="bottom"/>
          </w:tcPr>
          <w:p>
            <w:pPr>
              <w:pStyle w:val="Compact"/>
              <w:jc w:val="right"/>
            </w:pPr>
            <w:r>
              <w:t xml:space="preserve">Percent</w:t>
            </w:r>
          </w:p>
        </w:tc>
        <w:tc>
          <w:tcPr>
            <w:tcBorders>
              <w:bottom w:val="single"/>
            </w:tcBorders>
            <w:vAlign w:val="bottom"/>
          </w:tcPr>
          <w:p>
            <w:pPr>
              <w:pStyle w:val="Compact"/>
              <w:jc w:val="right"/>
            </w:pPr>
            <w:r>
              <w:t xml:space="preserve">Respondents</w:t>
            </w:r>
          </w:p>
        </w:tc>
        <w:tc>
          <w:tcPr>
            <w:tcBorders>
              <w:bottom w:val="single"/>
            </w:tcBorders>
            <w:vAlign w:val="bottom"/>
          </w:tcPr>
          <w:p>
            <w:pPr>
              <w:pStyle w:val="Compact"/>
              <w:jc w:val="right"/>
            </w:pPr>
            <w:r>
              <w:t xml:space="preserve">Total</w:t>
            </w:r>
          </w:p>
        </w:tc>
        <w:tc>
          <w:tcPr>
            <w:tcBorders>
              <w:bottom w:val="single"/>
            </w:tcBorders>
            <w:vAlign w:val="bottom"/>
          </w:tcPr>
          <w:p>
            <w:pPr>
              <w:pStyle w:val="Compact"/>
              <w:jc w:val="right"/>
            </w:pPr>
            <w:r>
              <w:t xml:space="preserve">Percent</w:t>
            </w:r>
          </w:p>
        </w:tc>
      </w:tr>
      <w:tr>
        <w:tc>
          <w:p>
            <w:pPr>
              <w:pStyle w:val="Compact"/>
              <w:jc w:val="left"/>
            </w:pPr>
            <w:r>
              <w:t xml:space="preserve">Same</w:t>
            </w:r>
          </w:p>
        </w:tc>
        <w:tc>
          <w:p>
            <w:pPr>
              <w:pStyle w:val="Compact"/>
              <w:jc w:val="right"/>
            </w:pPr>
            <w:r>
              <w:t xml:space="preserve">35,567</w:t>
            </w:r>
          </w:p>
        </w:tc>
        <w:tc>
          <w:p>
            <w:pPr>
              <w:pStyle w:val="Compact"/>
              <w:jc w:val="right"/>
            </w:pPr>
            <w:r>
              <w:t xml:space="preserve">45,018</w:t>
            </w:r>
          </w:p>
        </w:tc>
        <w:tc>
          <w:p>
            <w:pPr>
              <w:pStyle w:val="Compact"/>
              <w:jc w:val="right"/>
            </w:pPr>
            <w:r>
              <w:t xml:space="preserve">79.01</w:t>
            </w:r>
          </w:p>
        </w:tc>
        <w:tc>
          <w:p>
            <w:pPr>
              <w:pStyle w:val="Compact"/>
              <w:jc w:val="right"/>
            </w:pPr>
            <w:r>
              <w:t xml:space="preserve">14,109</w:t>
            </w:r>
          </w:p>
        </w:tc>
        <w:tc>
          <w:p>
            <w:pPr>
              <w:pStyle w:val="Compact"/>
              <w:jc w:val="right"/>
            </w:pPr>
            <w:r>
              <w:t xml:space="preserve">15,939</w:t>
            </w:r>
          </w:p>
        </w:tc>
        <w:tc>
          <w:p>
            <w:pPr>
              <w:pStyle w:val="Compact"/>
              <w:jc w:val="right"/>
            </w:pPr>
            <w:r>
              <w:t xml:space="preserve">88.52</w:t>
            </w:r>
          </w:p>
        </w:tc>
      </w:tr>
      <w:tr>
        <w:tc>
          <w:p>
            <w:pPr>
              <w:pStyle w:val="Compact"/>
              <w:jc w:val="left"/>
            </w:pPr>
            <w:r>
              <w:t xml:space="preserve">Promotion</w:t>
            </w:r>
          </w:p>
        </w:tc>
        <w:tc>
          <w:p>
            <w:pPr>
              <w:pStyle w:val="Compact"/>
              <w:jc w:val="right"/>
            </w:pPr>
            <w:r>
              <w:t xml:space="preserve">1,978</w:t>
            </w:r>
          </w:p>
        </w:tc>
        <w:tc>
          <w:p>
            <w:pPr>
              <w:pStyle w:val="Compact"/>
              <w:jc w:val="right"/>
            </w:pPr>
            <w:r>
              <w:t xml:space="preserve">45,018</w:t>
            </w:r>
          </w:p>
        </w:tc>
        <w:tc>
          <w:p>
            <w:pPr>
              <w:pStyle w:val="Compact"/>
              <w:jc w:val="right"/>
            </w:pPr>
            <w:r>
              <w:t xml:space="preserve">4.39</w:t>
            </w:r>
          </w:p>
        </w:tc>
        <w:tc>
          <w:p>
            <w:pPr>
              <w:pStyle w:val="Compact"/>
              <w:jc w:val="right"/>
            </w:pPr>
            <w:r>
              <w:t xml:space="preserve">1,632</w:t>
            </w:r>
          </w:p>
        </w:tc>
        <w:tc>
          <w:p>
            <w:pPr>
              <w:pStyle w:val="Compact"/>
              <w:jc w:val="right"/>
            </w:pPr>
            <w:r>
              <w:t xml:space="preserve">15,939</w:t>
            </w:r>
          </w:p>
        </w:tc>
        <w:tc>
          <w:p>
            <w:pPr>
              <w:pStyle w:val="Compact"/>
              <w:jc w:val="right"/>
            </w:pPr>
            <w:r>
              <w:t xml:space="preserve">10.24</w:t>
            </w:r>
          </w:p>
        </w:tc>
      </w:tr>
      <w:tr>
        <w:tc>
          <w:p>
            <w:pPr>
              <w:pStyle w:val="Compact"/>
              <w:jc w:val="left"/>
            </w:pPr>
            <w:r>
              <w:t xml:space="preserve">Lateral</w:t>
            </w:r>
          </w:p>
        </w:tc>
        <w:tc>
          <w:p>
            <w:pPr>
              <w:pStyle w:val="Compact"/>
              <w:jc w:val="right"/>
            </w:pPr>
            <w:r>
              <w:t xml:space="preserve">553</w:t>
            </w:r>
          </w:p>
        </w:tc>
        <w:tc>
          <w:p>
            <w:pPr>
              <w:pStyle w:val="Compact"/>
              <w:jc w:val="right"/>
            </w:pPr>
            <w:r>
              <w:t xml:space="preserve">45,018</w:t>
            </w:r>
          </w:p>
        </w:tc>
        <w:tc>
          <w:p>
            <w:pPr>
              <w:pStyle w:val="Compact"/>
              <w:jc w:val="right"/>
            </w:pPr>
            <w:r>
              <w:t xml:space="preserve">1.23</w:t>
            </w:r>
          </w:p>
        </w:tc>
        <w:tc>
          <w:p>
            <w:pPr>
              <w:pStyle w:val="Compact"/>
              <w:jc w:val="right"/>
            </w:pPr>
            <w:r>
              <w:t xml:space="preserve">507</w:t>
            </w:r>
          </w:p>
        </w:tc>
        <w:tc>
          <w:p>
            <w:pPr>
              <w:pStyle w:val="Compact"/>
              <w:jc w:val="right"/>
            </w:pPr>
            <w:r>
              <w:t xml:space="preserve">15,939</w:t>
            </w:r>
          </w:p>
        </w:tc>
        <w:tc>
          <w:p>
            <w:pPr>
              <w:pStyle w:val="Compact"/>
              <w:jc w:val="right"/>
            </w:pPr>
            <w:r>
              <w:t xml:space="preserve">3.18</w:t>
            </w:r>
          </w:p>
        </w:tc>
      </w:tr>
      <w:tr>
        <w:tc>
          <w:p>
            <w:pPr>
              <w:pStyle w:val="Compact"/>
              <w:jc w:val="left"/>
            </w:pPr>
            <w:r>
              <w:t xml:space="preserve">Exit</w:t>
            </w:r>
          </w:p>
        </w:tc>
        <w:tc>
          <w:p>
            <w:pPr>
              <w:pStyle w:val="Compact"/>
              <w:jc w:val="right"/>
            </w:pPr>
            <w:r>
              <w:t xml:space="preserve">6,920</w:t>
            </w:r>
          </w:p>
        </w:tc>
        <w:tc>
          <w:p>
            <w:pPr>
              <w:pStyle w:val="Compact"/>
              <w:jc w:val="right"/>
            </w:pPr>
            <w:r>
              <w:t xml:space="preserve">45,018</w:t>
            </w:r>
          </w:p>
        </w:tc>
        <w:tc>
          <w:p>
            <w:pPr>
              <w:pStyle w:val="Compact"/>
              <w:jc w:val="right"/>
            </w:pPr>
            <w:r>
              <w:t xml:space="preserve">15.37</w:t>
            </w:r>
          </w:p>
        </w:tc>
        <w:tc>
          <w:p>
            <w:pPr>
              <w:pStyle w:val="Compact"/>
              <w:jc w:val="right"/>
            </w:pPr>
            <w:r>
              <w:t xml:space="preserve">5,094</w:t>
            </w:r>
          </w:p>
        </w:tc>
        <w:tc>
          <w:p>
            <w:pPr>
              <w:pStyle w:val="Compact"/>
              <w:jc w:val="right"/>
            </w:pPr>
            <w:r>
              <w:t xml:space="preserve">15,939</w:t>
            </w:r>
          </w:p>
        </w:tc>
        <w:tc>
          <w:p>
            <w:pPr>
              <w:pStyle w:val="Compact"/>
              <w:jc w:val="right"/>
            </w:pPr>
            <w:r>
              <w:t xml:space="preserve">31.96</w:t>
            </w:r>
          </w:p>
        </w:tc>
      </w:tr>
    </w:tbl>
    <w:p>
      <w:pPr>
        <w:pStyle w:val="BodyText"/>
      </w:pPr>
      <w:r>
        <w:t xml:space="preserve">Three points are worth mentioning about Table 1. First, the majority of respondents do not change jobs. Most workers remain in the same job with the same employer. Second, when respondents do change jobs, they are most likely to change employers as well as jobs. The most common form of mobility in the sample is exit to a new employer or firm. This mobility likely contains a mix of voluntary (quits to new opportunities) and involuntary (redundancy, dismissal, firm closure etc.) changes. Lastly, Promotions, which are voluntary forms of mobility, occur rarely in the data, suggesting they are unique opportunities for workers. This does not mean that exit to a new employer cannot provide earnings premiums to workers, the literature suggests that quits to a new employer, expecially when they are direct changes, can yield significant earnings growth and premiums. However, such changes are impossible to isolate in the RLMS survey. Instead these changes sit within the exit category.</w:t>
      </w:r>
    </w:p>
    <w:p>
      <w:pPr>
        <w:pStyle w:val="BodyText"/>
      </w:pPr>
      <w:r>
        <w:t xml:space="preserve">Social class groups experience unequal chances of exit, lateral changes, and promotion. As Goldthorpe (ref) suggests, high social class groups are tied to</w:t>
      </w:r>
      <w:r>
        <w:t xml:space="preserve"> </w:t>
      </w:r>
      <w:r>
        <w:t xml:space="preserve">“</w:t>
      </w:r>
      <w:r>
        <w:t xml:space="preserve">service relationships</w:t>
      </w:r>
      <w:r>
        <w:t xml:space="preserve">”</w:t>
      </w:r>
      <w:r>
        <w:t xml:space="preserve"> </w:t>
      </w:r>
      <w:r>
        <w:t xml:space="preserve">with their employers, who sees these workers as an investment to be secured over the long-term. Meanwhile, employers see low social class groups as</w:t>
      </w:r>
      <w:r>
        <w:t xml:space="preserve"> </w:t>
      </w:r>
      <w:r>
        <w:t xml:space="preserve">“</w:t>
      </w:r>
      <w:r>
        <w:t xml:space="preserve">contractual agreements</w:t>
      </w:r>
      <w:r>
        <w:t xml:space="preserve">”</w:t>
      </w:r>
      <w:r>
        <w:t xml:space="preserve">, where compensation is tied to pay on a short-term basis. For this reason, we will split mobility across three broad social class groups, mentioned earlier. It should be noted that mobility between social class groups also exists, although it is generally rare.</w:t>
      </w:r>
      <w:r>
        <w:t xml:space="preserve"> </w:t>
      </w:r>
    </w:p>
    <w:p>
      <w:pPr>
        <w:pStyle w:val="TableCaption"/>
      </w:pPr>
      <w:r>
        <w:t xml:space="preserve">Mobility types, by social class</w:t>
      </w:r>
    </w:p>
    <w:tbl>
      <w:tblPr>
        <w:tblStyle w:val="TableNormal"/>
        <w:tblW w:type="pct" w:w="0.0"/>
        <w:tblLook w:firstRow="1"/>
        <w:tblCaption w:val="Mobility types, by social class"/>
      </w:tblPr>
      <w:tblGrid/>
      <w:tr>
        <w:trPr>
          <w:cnfStyle w:firstRow="1"/>
        </w:trPr>
        <w:tc>
          <w:tcPr>
            <w:tcBorders>
              <w:bottom w:val="single"/>
            </w:tcBorders>
            <w:vAlign w:val="bottom"/>
          </w:tcPr>
          <w:p>
            <w:pPr>
              <w:pStyle w:val="Compact"/>
              <w:jc w:val="left"/>
            </w:pPr>
            <w:r>
              <w:t xml:space="preserve">Social class</w:t>
            </w:r>
          </w:p>
        </w:tc>
        <w:tc>
          <w:tcPr>
            <w:tcBorders>
              <w:bottom w:val="single"/>
            </w:tcBorders>
            <w:vAlign w:val="bottom"/>
          </w:tcPr>
          <w:p>
            <w:pPr>
              <w:pStyle w:val="Compact"/>
              <w:jc w:val="left"/>
            </w:pPr>
            <w:r>
              <w:t xml:space="preserve">Mobility type</w:t>
            </w:r>
          </w:p>
        </w:tc>
        <w:tc>
          <w:tcPr>
            <w:tcBorders>
              <w:bottom w:val="single"/>
            </w:tcBorders>
            <w:vAlign w:val="bottom"/>
          </w:tcPr>
          <w:p>
            <w:pPr>
              <w:pStyle w:val="Compact"/>
              <w:jc w:val="right"/>
            </w:pPr>
            <w:r>
              <w:t xml:space="preserve">Respondents</w:t>
            </w:r>
          </w:p>
        </w:tc>
        <w:tc>
          <w:tcPr>
            <w:tcBorders>
              <w:bottom w:val="single"/>
            </w:tcBorders>
            <w:vAlign w:val="bottom"/>
          </w:tcPr>
          <w:p>
            <w:pPr>
              <w:pStyle w:val="Compact"/>
              <w:jc w:val="right"/>
            </w:pPr>
            <w:r>
              <w:t xml:space="preserve">Total</w:t>
            </w:r>
          </w:p>
        </w:tc>
        <w:tc>
          <w:tcPr>
            <w:tcBorders>
              <w:bottom w:val="single"/>
            </w:tcBorders>
            <w:vAlign w:val="bottom"/>
          </w:tcPr>
          <w:p>
            <w:pPr>
              <w:pStyle w:val="Compact"/>
              <w:jc w:val="right"/>
            </w:pPr>
            <w:r>
              <w:t xml:space="preserve">Percent</w:t>
            </w:r>
          </w:p>
        </w:tc>
      </w:tr>
      <w:tr>
        <w:tc>
          <w:p>
            <w:pPr>
              <w:pStyle w:val="Compact"/>
              <w:jc w:val="left"/>
            </w:pPr>
            <w:r>
              <w:t xml:space="preserve">High</w:t>
            </w:r>
          </w:p>
        </w:tc>
        <w:tc>
          <w:p>
            <w:pPr>
              <w:pStyle w:val="Compact"/>
              <w:jc w:val="left"/>
            </w:pPr>
            <w:r>
              <w:t xml:space="preserve">Same</w:t>
            </w:r>
          </w:p>
        </w:tc>
        <w:tc>
          <w:p>
            <w:pPr>
              <w:pStyle w:val="Compact"/>
              <w:jc w:val="right"/>
            </w:pPr>
            <w:r>
              <w:t xml:space="preserve">6,143</w:t>
            </w:r>
          </w:p>
        </w:tc>
        <w:tc>
          <w:p>
            <w:pPr>
              <w:pStyle w:val="Compact"/>
              <w:jc w:val="right"/>
            </w:pPr>
            <w:r>
              <w:t xml:space="preserve">7,158</w:t>
            </w:r>
          </w:p>
        </w:tc>
        <w:tc>
          <w:p>
            <w:pPr>
              <w:pStyle w:val="Compact"/>
              <w:jc w:val="right"/>
            </w:pPr>
            <w:r>
              <w:t xml:space="preserve">85.82</w:t>
            </w:r>
          </w:p>
        </w:tc>
      </w:tr>
      <w:tr>
        <w:tc>
          <w:p>
            <w:pPr>
              <w:pStyle w:val="Compact"/>
              <w:jc w:val="left"/>
            </w:pPr>
            <w:r>
              <w:t xml:space="preserve">High</w:t>
            </w:r>
          </w:p>
        </w:tc>
        <w:tc>
          <w:p>
            <w:pPr>
              <w:pStyle w:val="Compact"/>
              <w:jc w:val="left"/>
            </w:pPr>
            <w:r>
              <w:t xml:space="preserve">Promotion</w:t>
            </w:r>
          </w:p>
        </w:tc>
        <w:tc>
          <w:p>
            <w:pPr>
              <w:pStyle w:val="Compact"/>
              <w:jc w:val="right"/>
            </w:pPr>
            <w:r>
              <w:t xml:space="preserve">1,073</w:t>
            </w:r>
          </w:p>
        </w:tc>
        <w:tc>
          <w:p>
            <w:pPr>
              <w:pStyle w:val="Compact"/>
              <w:jc w:val="right"/>
            </w:pPr>
            <w:r>
              <w:t xml:space="preserve">7,158</w:t>
            </w:r>
          </w:p>
        </w:tc>
        <w:tc>
          <w:p>
            <w:pPr>
              <w:pStyle w:val="Compact"/>
              <w:jc w:val="right"/>
            </w:pPr>
            <w:r>
              <w:t xml:space="preserve">14.99</w:t>
            </w:r>
          </w:p>
        </w:tc>
      </w:tr>
      <w:tr>
        <w:tc>
          <w:p>
            <w:pPr>
              <w:pStyle w:val="Compact"/>
              <w:jc w:val="left"/>
            </w:pPr>
            <w:r>
              <w:t xml:space="preserve">High</w:t>
            </w:r>
          </w:p>
        </w:tc>
        <w:tc>
          <w:p>
            <w:pPr>
              <w:pStyle w:val="Compact"/>
              <w:jc w:val="left"/>
            </w:pPr>
            <w:r>
              <w:t xml:space="preserve">Lateral</w:t>
            </w:r>
          </w:p>
        </w:tc>
        <w:tc>
          <w:p>
            <w:pPr>
              <w:pStyle w:val="Compact"/>
              <w:jc w:val="right"/>
            </w:pPr>
            <w:r>
              <w:t xml:space="preserve">182</w:t>
            </w:r>
          </w:p>
        </w:tc>
        <w:tc>
          <w:p>
            <w:pPr>
              <w:pStyle w:val="Compact"/>
              <w:jc w:val="right"/>
            </w:pPr>
            <w:r>
              <w:t xml:space="preserve">7,158</w:t>
            </w:r>
          </w:p>
        </w:tc>
        <w:tc>
          <w:p>
            <w:pPr>
              <w:pStyle w:val="Compact"/>
              <w:jc w:val="right"/>
            </w:pPr>
            <w:r>
              <w:t xml:space="preserve">2.54</w:t>
            </w:r>
          </w:p>
        </w:tc>
      </w:tr>
      <w:tr>
        <w:tc>
          <w:p>
            <w:pPr>
              <w:pStyle w:val="Compact"/>
              <w:jc w:val="left"/>
            </w:pPr>
            <w:r>
              <w:t xml:space="preserve">High</w:t>
            </w:r>
          </w:p>
        </w:tc>
        <w:tc>
          <w:p>
            <w:pPr>
              <w:pStyle w:val="Compact"/>
              <w:jc w:val="left"/>
            </w:pPr>
            <w:r>
              <w:t xml:space="preserve">Exit</w:t>
            </w:r>
          </w:p>
        </w:tc>
        <w:tc>
          <w:p>
            <w:pPr>
              <w:pStyle w:val="Compact"/>
              <w:jc w:val="right"/>
            </w:pPr>
            <w:r>
              <w:t xml:space="preserve">1,590</w:t>
            </w:r>
          </w:p>
        </w:tc>
        <w:tc>
          <w:p>
            <w:pPr>
              <w:pStyle w:val="Compact"/>
              <w:jc w:val="right"/>
            </w:pPr>
            <w:r>
              <w:t xml:space="preserve">7,158</w:t>
            </w:r>
          </w:p>
        </w:tc>
        <w:tc>
          <w:p>
            <w:pPr>
              <w:pStyle w:val="Compact"/>
              <w:jc w:val="right"/>
            </w:pPr>
            <w:r>
              <w:t xml:space="preserve">22.21</w:t>
            </w:r>
          </w:p>
        </w:tc>
      </w:tr>
      <w:tr>
        <w:tc>
          <w:p>
            <w:pPr>
              <w:pStyle w:val="Compact"/>
              <w:jc w:val="left"/>
            </w:pPr>
            <w:r>
              <w:t xml:space="preserve">Medium</w:t>
            </w:r>
          </w:p>
        </w:tc>
        <w:tc>
          <w:p>
            <w:pPr>
              <w:pStyle w:val="Compact"/>
              <w:jc w:val="left"/>
            </w:pPr>
            <w:r>
              <w:t xml:space="preserve">Same</w:t>
            </w:r>
          </w:p>
        </w:tc>
        <w:tc>
          <w:p>
            <w:pPr>
              <w:pStyle w:val="Compact"/>
              <w:jc w:val="right"/>
            </w:pPr>
            <w:r>
              <w:t xml:space="preserve">2,331</w:t>
            </w:r>
          </w:p>
        </w:tc>
        <w:tc>
          <w:p>
            <w:pPr>
              <w:pStyle w:val="Compact"/>
              <w:jc w:val="right"/>
            </w:pPr>
            <w:r>
              <w:t xml:space="preserve">3,009</w:t>
            </w:r>
          </w:p>
        </w:tc>
        <w:tc>
          <w:p>
            <w:pPr>
              <w:pStyle w:val="Compact"/>
              <w:jc w:val="right"/>
            </w:pPr>
            <w:r>
              <w:t xml:space="preserve">77.47</w:t>
            </w:r>
          </w:p>
        </w:tc>
      </w:tr>
      <w:tr>
        <w:tc>
          <w:p>
            <w:pPr>
              <w:pStyle w:val="Compact"/>
              <w:jc w:val="left"/>
            </w:pPr>
            <w:r>
              <w:t xml:space="preserve">Medium</w:t>
            </w:r>
          </w:p>
        </w:tc>
        <w:tc>
          <w:p>
            <w:pPr>
              <w:pStyle w:val="Compact"/>
              <w:jc w:val="left"/>
            </w:pPr>
            <w:r>
              <w:t xml:space="preserve">Promotion</w:t>
            </w:r>
          </w:p>
        </w:tc>
        <w:tc>
          <w:p>
            <w:pPr>
              <w:pStyle w:val="Compact"/>
              <w:jc w:val="right"/>
            </w:pPr>
            <w:r>
              <w:t xml:space="preserve">226</w:t>
            </w:r>
          </w:p>
        </w:tc>
        <w:tc>
          <w:p>
            <w:pPr>
              <w:pStyle w:val="Compact"/>
              <w:jc w:val="right"/>
            </w:pPr>
            <w:r>
              <w:t xml:space="preserve">3,009</w:t>
            </w:r>
          </w:p>
        </w:tc>
        <w:tc>
          <w:p>
            <w:pPr>
              <w:pStyle w:val="Compact"/>
              <w:jc w:val="right"/>
            </w:pPr>
            <w:r>
              <w:t xml:space="preserve">7.51</w:t>
            </w:r>
          </w:p>
        </w:tc>
      </w:tr>
      <w:tr>
        <w:tc>
          <w:p>
            <w:pPr>
              <w:pStyle w:val="Compact"/>
              <w:jc w:val="left"/>
            </w:pPr>
            <w:r>
              <w:t xml:space="preserve">Medium</w:t>
            </w:r>
          </w:p>
        </w:tc>
        <w:tc>
          <w:p>
            <w:pPr>
              <w:pStyle w:val="Compact"/>
              <w:jc w:val="left"/>
            </w:pPr>
            <w:r>
              <w:t xml:space="preserve">Lateral</w:t>
            </w:r>
          </w:p>
        </w:tc>
        <w:tc>
          <w:p>
            <w:pPr>
              <w:pStyle w:val="Compact"/>
              <w:jc w:val="right"/>
            </w:pPr>
            <w:r>
              <w:t xml:space="preserve">78</w:t>
            </w:r>
          </w:p>
        </w:tc>
        <w:tc>
          <w:p>
            <w:pPr>
              <w:pStyle w:val="Compact"/>
              <w:jc w:val="right"/>
            </w:pPr>
            <w:r>
              <w:t xml:space="preserve">3,009</w:t>
            </w:r>
          </w:p>
        </w:tc>
        <w:tc>
          <w:p>
            <w:pPr>
              <w:pStyle w:val="Compact"/>
              <w:jc w:val="right"/>
            </w:pPr>
            <w:r>
              <w:t xml:space="preserve">2.59</w:t>
            </w:r>
          </w:p>
        </w:tc>
      </w:tr>
      <w:tr>
        <w:tc>
          <w:p>
            <w:pPr>
              <w:pStyle w:val="Compact"/>
              <w:jc w:val="left"/>
            </w:pPr>
            <w:r>
              <w:t xml:space="preserve">Medium</w:t>
            </w:r>
          </w:p>
        </w:tc>
        <w:tc>
          <w:p>
            <w:pPr>
              <w:pStyle w:val="Compact"/>
              <w:jc w:val="left"/>
            </w:pPr>
            <w:r>
              <w:t xml:space="preserve">Exit</w:t>
            </w:r>
          </w:p>
        </w:tc>
        <w:tc>
          <w:p>
            <w:pPr>
              <w:pStyle w:val="Compact"/>
              <w:jc w:val="right"/>
            </w:pPr>
            <w:r>
              <w:t xml:space="preserve">819</w:t>
            </w:r>
          </w:p>
        </w:tc>
        <w:tc>
          <w:p>
            <w:pPr>
              <w:pStyle w:val="Compact"/>
              <w:jc w:val="right"/>
            </w:pPr>
            <w:r>
              <w:t xml:space="preserve">3,009</w:t>
            </w:r>
          </w:p>
        </w:tc>
        <w:tc>
          <w:p>
            <w:pPr>
              <w:pStyle w:val="Compact"/>
              <w:jc w:val="right"/>
            </w:pPr>
            <w:r>
              <w:t xml:space="preserve">27.22</w:t>
            </w:r>
          </w:p>
        </w:tc>
      </w:tr>
      <w:tr>
        <w:tc>
          <w:p>
            <w:pPr>
              <w:pStyle w:val="Compact"/>
              <w:jc w:val="left"/>
            </w:pPr>
            <w:r>
              <w:t xml:space="preserve">Low</w:t>
            </w:r>
          </w:p>
        </w:tc>
        <w:tc>
          <w:p>
            <w:pPr>
              <w:pStyle w:val="Compact"/>
              <w:jc w:val="left"/>
            </w:pPr>
            <w:r>
              <w:t xml:space="preserve">Same</w:t>
            </w:r>
          </w:p>
        </w:tc>
        <w:tc>
          <w:p>
            <w:pPr>
              <w:pStyle w:val="Compact"/>
              <w:jc w:val="right"/>
            </w:pPr>
            <w:r>
              <w:t xml:space="preserve">7,136</w:t>
            </w:r>
          </w:p>
        </w:tc>
        <w:tc>
          <w:p>
            <w:pPr>
              <w:pStyle w:val="Compact"/>
              <w:jc w:val="right"/>
            </w:pPr>
            <w:r>
              <w:t xml:space="preserve">8,423</w:t>
            </w:r>
          </w:p>
        </w:tc>
        <w:tc>
          <w:p>
            <w:pPr>
              <w:pStyle w:val="Compact"/>
              <w:jc w:val="right"/>
            </w:pPr>
            <w:r>
              <w:t xml:space="preserve">84.72</w:t>
            </w:r>
          </w:p>
        </w:tc>
      </w:tr>
      <w:tr>
        <w:tc>
          <w:p>
            <w:pPr>
              <w:pStyle w:val="Compact"/>
              <w:jc w:val="left"/>
            </w:pPr>
            <w:r>
              <w:t xml:space="preserve">Low</w:t>
            </w:r>
          </w:p>
        </w:tc>
        <w:tc>
          <w:p>
            <w:pPr>
              <w:pStyle w:val="Compact"/>
              <w:jc w:val="left"/>
            </w:pPr>
            <w:r>
              <w:t xml:space="preserve">Promotion</w:t>
            </w:r>
          </w:p>
        </w:tc>
        <w:tc>
          <w:p>
            <w:pPr>
              <w:pStyle w:val="Compact"/>
              <w:jc w:val="right"/>
            </w:pPr>
            <w:r>
              <w:t xml:space="preserve">261</w:t>
            </w:r>
          </w:p>
        </w:tc>
        <w:tc>
          <w:p>
            <w:pPr>
              <w:pStyle w:val="Compact"/>
              <w:jc w:val="right"/>
            </w:pPr>
            <w:r>
              <w:t xml:space="preserve">8,423</w:t>
            </w:r>
          </w:p>
        </w:tc>
        <w:tc>
          <w:p>
            <w:pPr>
              <w:pStyle w:val="Compact"/>
              <w:jc w:val="right"/>
            </w:pPr>
            <w:r>
              <w:t xml:space="preserve">3.10</w:t>
            </w:r>
          </w:p>
        </w:tc>
      </w:tr>
      <w:tr>
        <w:tc>
          <w:p>
            <w:pPr>
              <w:pStyle w:val="Compact"/>
              <w:jc w:val="left"/>
            </w:pPr>
            <w:r>
              <w:t xml:space="preserve">Low</w:t>
            </w:r>
          </w:p>
        </w:tc>
        <w:tc>
          <w:p>
            <w:pPr>
              <w:pStyle w:val="Compact"/>
              <w:jc w:val="left"/>
            </w:pPr>
            <w:r>
              <w:t xml:space="preserve">Lateral</w:t>
            </w:r>
          </w:p>
        </w:tc>
        <w:tc>
          <w:p>
            <w:pPr>
              <w:pStyle w:val="Compact"/>
              <w:jc w:val="right"/>
            </w:pPr>
            <w:r>
              <w:t xml:space="preserve">227</w:t>
            </w:r>
          </w:p>
        </w:tc>
        <w:tc>
          <w:p>
            <w:pPr>
              <w:pStyle w:val="Compact"/>
              <w:jc w:val="right"/>
            </w:pPr>
            <w:r>
              <w:t xml:space="preserve">8,423</w:t>
            </w:r>
          </w:p>
        </w:tc>
        <w:tc>
          <w:p>
            <w:pPr>
              <w:pStyle w:val="Compact"/>
              <w:jc w:val="right"/>
            </w:pPr>
            <w:r>
              <w:t xml:space="preserve">2.70</w:t>
            </w:r>
          </w:p>
        </w:tc>
      </w:tr>
      <w:tr>
        <w:tc>
          <w:p>
            <w:pPr>
              <w:pStyle w:val="Compact"/>
              <w:jc w:val="left"/>
            </w:pPr>
            <w:r>
              <w:t xml:space="preserve">Low</w:t>
            </w:r>
          </w:p>
        </w:tc>
        <w:tc>
          <w:p>
            <w:pPr>
              <w:pStyle w:val="Compact"/>
              <w:jc w:val="left"/>
            </w:pPr>
            <w:r>
              <w:t xml:space="preserve">Exit</w:t>
            </w:r>
          </w:p>
        </w:tc>
        <w:tc>
          <w:p>
            <w:pPr>
              <w:pStyle w:val="Compact"/>
              <w:jc w:val="right"/>
            </w:pPr>
            <w:r>
              <w:t xml:space="preserve">2,966</w:t>
            </w:r>
          </w:p>
        </w:tc>
        <w:tc>
          <w:p>
            <w:pPr>
              <w:pStyle w:val="Compact"/>
              <w:jc w:val="right"/>
            </w:pPr>
            <w:r>
              <w:t xml:space="preserve">8,423</w:t>
            </w:r>
          </w:p>
        </w:tc>
        <w:tc>
          <w:p>
            <w:pPr>
              <w:pStyle w:val="Compact"/>
              <w:jc w:val="right"/>
            </w:pPr>
            <w:r>
              <w:t xml:space="preserve">35.21</w:t>
            </w:r>
          </w:p>
        </w:tc>
      </w:tr>
    </w:tbl>
    <w:p>
      <w:pPr>
        <w:pStyle w:val="BodyText"/>
      </w:pPr>
      <w:r>
        <w:t xml:space="preserve">In this section, we will focus only on class differences between respondents. Starting with the High social class group, 22% of these workers exit the firm at least once, and 15% of these workers are promoted at least once. These changes are unique when compared to Middle class workers. Here, just 7% experience a promotion, and 27% experience an exit. Among middle class workers, promotion is less common and exit is more common than among High EsEC groups. Working class respondents have starker differences, just 3% experience a promotion, and 35% experience an exit to a new employer. Lateral moves within firms are equally unlikely for all social class groups. Overall, there is a clear class hierarchy in terms of access to promotion, at least over the five year period chosen for the study.</w:t>
      </w:r>
    </w:p>
    <w:p>
      <w:pPr>
        <w:pStyle w:val="Heading3"/>
      </w:pPr>
      <w:bookmarkStart w:id="23" w:name="mobility-and-earnings"/>
      <w:bookmarkEnd w:id="23"/>
      <w:r>
        <w:t xml:space="preserve">Mobility and earnings</w:t>
      </w:r>
    </w:p>
    <w:p>
      <w:pPr>
        <w:pStyle w:val="FirstParagraph"/>
      </w:pPr>
      <w:r>
        <w:t xml:space="preserve">We find differences in the frequency of mobility between and within workers, but what are the consequences of these differences? Is there a difference in earnings between movers and non-movers? This section considers such differences in the sample overall, and between social class groups.</w:t>
      </w:r>
    </w:p>
    <w:p>
      <w:pPr>
        <w:pStyle w:val="TableCaption"/>
      </w:pPr>
      <w:r>
        <w:t xml:space="preserve">Average earnings of stayers and movers</w:t>
      </w:r>
    </w:p>
    <w:tbl>
      <w:tblPr>
        <w:tblStyle w:val="TableNormal"/>
        <w:tblW w:type="pct" w:w="0.0"/>
        <w:tblLook w:firstRow="1"/>
        <w:tblCaption w:val="Average earnings of stayers and movers"/>
      </w:tblPr>
      <w:tblGrid/>
      <w:tr>
        <w:trPr>
          <w:cnfStyle w:firstRow="1"/>
        </w:trPr>
        <w:tc>
          <w:tcPr>
            <w:tcBorders>
              <w:bottom w:val="single"/>
            </w:tcBorders>
            <w:vAlign w:val="bottom"/>
          </w:tcPr>
          <w:p>
            <w:pPr>
              <w:pStyle w:val="Compact"/>
              <w:jc w:val="left"/>
            </w:pPr>
            <w:r>
              <w:t xml:space="preserve">Change</w:t>
            </w:r>
          </w:p>
        </w:tc>
        <w:tc>
          <w:tcPr>
            <w:tcBorders>
              <w:bottom w:val="single"/>
            </w:tcBorders>
            <w:vAlign w:val="bottom"/>
          </w:tcPr>
          <w:p>
            <w:pPr>
              <w:pStyle w:val="Compact"/>
              <w:jc w:val="right"/>
            </w:pPr>
            <w:r>
              <w:t xml:space="preserve">Ever exited (mean wage)</w:t>
            </w:r>
          </w:p>
        </w:tc>
        <w:tc>
          <w:tcPr>
            <w:tcBorders>
              <w:bottom w:val="single"/>
            </w:tcBorders>
            <w:vAlign w:val="bottom"/>
          </w:tcPr>
          <w:p>
            <w:pPr>
              <w:pStyle w:val="Compact"/>
              <w:jc w:val="right"/>
            </w:pPr>
            <w:r>
              <w:t xml:space="preserve">Ever promoted (mean wage)</w:t>
            </w:r>
          </w:p>
        </w:tc>
      </w:tr>
      <w:tr>
        <w:tc>
          <w:p>
            <w:pPr>
              <w:pStyle w:val="Compact"/>
              <w:jc w:val="left"/>
            </w:pPr>
            <w:r>
              <w:t xml:space="preserve">No</w:t>
            </w:r>
          </w:p>
        </w:tc>
        <w:tc>
          <w:p>
            <w:pPr>
              <w:pStyle w:val="Compact"/>
              <w:jc w:val="right"/>
            </w:pPr>
            <w:r>
              <w:t xml:space="preserve">21,507.42</w:t>
            </w:r>
          </w:p>
        </w:tc>
        <w:tc>
          <w:p>
            <w:pPr>
              <w:pStyle w:val="Compact"/>
              <w:jc w:val="right"/>
            </w:pPr>
            <w:r>
              <w:t xml:space="preserve">19,546.46</w:t>
            </w:r>
          </w:p>
        </w:tc>
      </w:tr>
      <w:tr>
        <w:tc>
          <w:p>
            <w:pPr>
              <w:pStyle w:val="Compact"/>
              <w:jc w:val="left"/>
            </w:pPr>
            <w:r>
              <w:t xml:space="preserve">Yes</w:t>
            </w:r>
          </w:p>
        </w:tc>
        <w:tc>
          <w:p>
            <w:pPr>
              <w:pStyle w:val="Compact"/>
              <w:jc w:val="right"/>
            </w:pPr>
            <w:r>
              <w:t xml:space="preserve">22,144.03</w:t>
            </w:r>
          </w:p>
        </w:tc>
        <w:tc>
          <w:p>
            <w:pPr>
              <w:pStyle w:val="Compact"/>
              <w:jc w:val="right"/>
            </w:pPr>
            <w:r>
              <w:t xml:space="preserve">26,629.98</w:t>
            </w:r>
          </w:p>
        </w:tc>
      </w:tr>
    </w:tbl>
    <w:p>
      <w:pPr>
        <w:pStyle w:val="BodyText"/>
      </w:pPr>
      <w:r>
        <w:t xml:space="preserve">The first column shows the mean wage between workers who exited the firm at least once, and those who have not exited (over the five-year period). The second, considers the mean wage of those who were promoted at least once, and the earnings of those who were never promoted. First the earnings of movers, in both columns are typically higher than the earnings of non-movers. Second, the earnings of those who are promoted (even if only once) are higher than those never promoted (over the five year period). Although exits may contain a premium, this premium is likely lower than the premium tied to promotions. Table 3 suggests that promotions (in themselves) carry financial premiums. An alternative explanation would suggest that promotions and exits do not hold financial premiums (in themselves), and these differences in wages stem from other differences between those who are promoted and those who are not, such as age, experience, and efficiency of workers. As before, it’s likely that class differences exist in the effect above. Table 4 considers the wage differences between those who quit and those who are promoted, across social classes.</w:t>
      </w:r>
      <w:r>
        <w:t xml:space="preserve"> </w:t>
      </w:r>
    </w:p>
    <w:p>
      <w:pPr>
        <w:pStyle w:val="TableCaption"/>
      </w:pPr>
      <w:r>
        <w:t xml:space="preserve">Average earnings of stayers and movers, by social class</w:t>
      </w:r>
    </w:p>
    <w:tbl>
      <w:tblPr>
        <w:tblStyle w:val="TableNormal"/>
        <w:tblW w:type="pct" w:w="0.0"/>
        <w:tblLook w:firstRow="1"/>
        <w:tblCaption w:val="Average earnings of stayers and movers, by social class"/>
      </w:tblPr>
      <w:tblGrid/>
      <w:tr>
        <w:trPr>
          <w:cnfStyle w:firstRow="1"/>
        </w:trPr>
        <w:tc>
          <w:tcPr>
            <w:tcBorders>
              <w:bottom w:val="single"/>
            </w:tcBorders>
            <w:vAlign w:val="bottom"/>
          </w:tcPr>
          <w:p>
            <w:pPr>
              <w:pStyle w:val="Compact"/>
              <w:jc w:val="left"/>
            </w:pPr>
            <w:r>
              <w:t xml:space="preserve">Social class</w:t>
            </w:r>
          </w:p>
        </w:tc>
        <w:tc>
          <w:tcPr>
            <w:tcBorders>
              <w:bottom w:val="single"/>
            </w:tcBorders>
            <w:vAlign w:val="bottom"/>
          </w:tcPr>
          <w:p>
            <w:pPr>
              <w:pStyle w:val="Compact"/>
              <w:jc w:val="left"/>
            </w:pPr>
            <w:r>
              <w:t xml:space="preserve">Change</w:t>
            </w:r>
          </w:p>
        </w:tc>
        <w:tc>
          <w:tcPr>
            <w:tcBorders>
              <w:bottom w:val="single"/>
            </w:tcBorders>
            <w:vAlign w:val="bottom"/>
          </w:tcPr>
          <w:p>
            <w:pPr>
              <w:pStyle w:val="Compact"/>
              <w:jc w:val="right"/>
            </w:pPr>
            <w:r>
              <w:t xml:space="preserve">Ever exited (mean wage)</w:t>
            </w:r>
          </w:p>
        </w:tc>
        <w:tc>
          <w:tcPr>
            <w:tcBorders>
              <w:bottom w:val="single"/>
            </w:tcBorders>
            <w:vAlign w:val="bottom"/>
          </w:tcPr>
          <w:p>
            <w:pPr>
              <w:pStyle w:val="Compact"/>
              <w:jc w:val="right"/>
            </w:pPr>
            <w:r>
              <w:t xml:space="preserve">Ever promoted (mean wage)</w:t>
            </w:r>
          </w:p>
        </w:tc>
      </w:tr>
      <w:tr>
        <w:tc>
          <w:p>
            <w:pPr>
              <w:pStyle w:val="Compact"/>
              <w:jc w:val="left"/>
            </w:pPr>
            <w:r>
              <w:t xml:space="preserve">High</w:t>
            </w:r>
          </w:p>
        </w:tc>
        <w:tc>
          <w:p>
            <w:pPr>
              <w:pStyle w:val="Compact"/>
              <w:jc w:val="left"/>
            </w:pPr>
            <w:r>
              <w:t xml:space="preserve">No</w:t>
            </w:r>
          </w:p>
        </w:tc>
        <w:tc>
          <w:p>
            <w:pPr>
              <w:pStyle w:val="Compact"/>
              <w:jc w:val="right"/>
            </w:pPr>
            <w:r>
              <w:t xml:space="preserve">24,405.48</w:t>
            </w:r>
          </w:p>
        </w:tc>
        <w:tc>
          <w:p>
            <w:pPr>
              <w:pStyle w:val="Compact"/>
              <w:jc w:val="right"/>
            </w:pPr>
            <w:r>
              <w:t xml:space="preserve">22,662.58</w:t>
            </w:r>
          </w:p>
        </w:tc>
      </w:tr>
      <w:tr>
        <w:tc>
          <w:p>
            <w:pPr>
              <w:pStyle w:val="Compact"/>
              <w:jc w:val="left"/>
            </w:pPr>
            <w:r>
              <w:t xml:space="preserve">High</w:t>
            </w:r>
          </w:p>
        </w:tc>
        <w:tc>
          <w:p>
            <w:pPr>
              <w:pStyle w:val="Compact"/>
              <w:jc w:val="left"/>
            </w:pPr>
            <w:r>
              <w:t xml:space="preserve">Yes</w:t>
            </w:r>
          </w:p>
        </w:tc>
        <w:tc>
          <w:p>
            <w:pPr>
              <w:pStyle w:val="Compact"/>
              <w:jc w:val="right"/>
            </w:pPr>
            <w:r>
              <w:t xml:space="preserve">27,039.89</w:t>
            </w:r>
          </w:p>
        </w:tc>
        <w:tc>
          <w:p>
            <w:pPr>
              <w:pStyle w:val="Compact"/>
              <w:jc w:val="right"/>
            </w:pPr>
            <w:r>
              <w:t xml:space="preserve">29,733.47</w:t>
            </w:r>
          </w:p>
        </w:tc>
      </w:tr>
      <w:tr>
        <w:tc>
          <w:p>
            <w:pPr>
              <w:pStyle w:val="Compact"/>
              <w:jc w:val="left"/>
            </w:pPr>
            <w:r>
              <w:t xml:space="preserve">Medium</w:t>
            </w:r>
          </w:p>
        </w:tc>
        <w:tc>
          <w:p>
            <w:pPr>
              <w:pStyle w:val="Compact"/>
              <w:jc w:val="left"/>
            </w:pPr>
            <w:r>
              <w:t xml:space="preserve">No</w:t>
            </w:r>
          </w:p>
        </w:tc>
        <w:tc>
          <w:p>
            <w:pPr>
              <w:pStyle w:val="Compact"/>
              <w:jc w:val="right"/>
            </w:pPr>
            <w:r>
              <w:t xml:space="preserve">20,989.98</w:t>
            </w:r>
          </w:p>
        </w:tc>
        <w:tc>
          <w:p>
            <w:pPr>
              <w:pStyle w:val="Compact"/>
              <w:jc w:val="right"/>
            </w:pPr>
            <w:r>
              <w:t xml:space="preserve">19,186.64</w:t>
            </w:r>
          </w:p>
        </w:tc>
      </w:tr>
      <w:tr>
        <w:tc>
          <w:p>
            <w:pPr>
              <w:pStyle w:val="Compact"/>
              <w:jc w:val="left"/>
            </w:pPr>
            <w:r>
              <w:t xml:space="preserve">Medium</w:t>
            </w:r>
          </w:p>
        </w:tc>
        <w:tc>
          <w:p>
            <w:pPr>
              <w:pStyle w:val="Compact"/>
              <w:jc w:val="left"/>
            </w:pPr>
            <w:r>
              <w:t xml:space="preserve">Yes</w:t>
            </w:r>
          </w:p>
        </w:tc>
        <w:tc>
          <w:p>
            <w:pPr>
              <w:pStyle w:val="Compact"/>
              <w:jc w:val="right"/>
            </w:pPr>
            <w:r>
              <w:t xml:space="preserve">20,125.98</w:t>
            </w:r>
          </w:p>
        </w:tc>
        <w:tc>
          <w:p>
            <w:pPr>
              <w:pStyle w:val="Compact"/>
              <w:jc w:val="right"/>
            </w:pPr>
            <w:r>
              <w:t xml:space="preserve">23,603.98</w:t>
            </w:r>
          </w:p>
        </w:tc>
      </w:tr>
      <w:tr>
        <w:tc>
          <w:p>
            <w:pPr>
              <w:pStyle w:val="Compact"/>
              <w:jc w:val="left"/>
            </w:pPr>
            <w:r>
              <w:t xml:space="preserve">Low</w:t>
            </w:r>
          </w:p>
        </w:tc>
        <w:tc>
          <w:p>
            <w:pPr>
              <w:pStyle w:val="Compact"/>
              <w:jc w:val="left"/>
            </w:pPr>
            <w:r>
              <w:t xml:space="preserve">No</w:t>
            </w:r>
          </w:p>
        </w:tc>
        <w:tc>
          <w:p>
            <w:pPr>
              <w:pStyle w:val="Compact"/>
              <w:jc w:val="right"/>
            </w:pPr>
            <w:r>
              <w:t xml:space="preserve">18,184.54</w:t>
            </w:r>
          </w:p>
        </w:tc>
        <w:tc>
          <w:p>
            <w:pPr>
              <w:pStyle w:val="Compact"/>
              <w:jc w:val="right"/>
            </w:pPr>
            <w:r>
              <w:t xml:space="preserve">17,264.51</w:t>
            </w:r>
          </w:p>
        </w:tc>
      </w:tr>
      <w:tr>
        <w:tc>
          <w:p>
            <w:pPr>
              <w:pStyle w:val="Compact"/>
              <w:jc w:val="left"/>
            </w:pPr>
            <w:r>
              <w:t xml:space="preserve">Low</w:t>
            </w:r>
          </w:p>
        </w:tc>
        <w:tc>
          <w:p>
            <w:pPr>
              <w:pStyle w:val="Compact"/>
              <w:jc w:val="left"/>
            </w:pPr>
            <w:r>
              <w:t xml:space="preserve">Yes</w:t>
            </w:r>
          </w:p>
        </w:tc>
        <w:tc>
          <w:p>
            <w:pPr>
              <w:pStyle w:val="Compact"/>
              <w:jc w:val="right"/>
            </w:pPr>
            <w:r>
              <w:t xml:space="preserve">19,429.91</w:t>
            </w:r>
          </w:p>
        </w:tc>
        <w:tc>
          <w:p>
            <w:pPr>
              <w:pStyle w:val="Compact"/>
              <w:jc w:val="right"/>
            </w:pPr>
            <w:r>
              <w:t xml:space="preserve">21,090.20</w:t>
            </w:r>
          </w:p>
        </w:tc>
      </w:tr>
    </w:tbl>
    <w:p>
      <w:pPr>
        <w:pStyle w:val="BodyText"/>
      </w:pPr>
      <w:r>
        <w:t xml:space="preserve">The third column lists the average earnings of those who quit at elast once, and those who never quit by social calss. High EsEc workers report higher earnings among</w:t>
      </w:r>
      <w:r>
        <w:t xml:space="preserve"> </w:t>
      </w:r>
      <w:r>
        <w:t xml:space="preserve">“</w:t>
      </w:r>
      <w:r>
        <w:t xml:space="preserve">exiters</w:t>
      </w:r>
      <w:r>
        <w:t xml:space="preserve">”</w:t>
      </w:r>
      <w:r>
        <w:t xml:space="preserve"> </w:t>
      </w:r>
      <w:r>
        <w:t xml:space="preserve">(27,000+) than</w:t>
      </w:r>
      <w:r>
        <w:t xml:space="preserve"> </w:t>
      </w:r>
      <w:r>
        <w:t xml:space="preserve">“</w:t>
      </w:r>
      <w:r>
        <w:t xml:space="preserve">non-exiters</w:t>
      </w:r>
      <w:r>
        <w:t xml:space="preserve">”</w:t>
      </w:r>
      <w:r>
        <w:t xml:space="preserve"> </w:t>
      </w:r>
      <w:r>
        <w:t xml:space="preserve">(24,000+). Middle and lower class groups see no differences in earnings between</w:t>
      </w:r>
      <w:r>
        <w:t xml:space="preserve"> </w:t>
      </w:r>
      <w:r>
        <w:t xml:space="preserve">“</w:t>
      </w:r>
      <w:r>
        <w:t xml:space="preserve">exiters</w:t>
      </w:r>
      <w:r>
        <w:t xml:space="preserve">”</w:t>
      </w:r>
      <w:r>
        <w:t xml:space="preserve">" and</w:t>
      </w:r>
      <w:r>
        <w:t xml:space="preserve"> </w:t>
      </w:r>
      <w:r>
        <w:t xml:space="preserve">“</w:t>
      </w:r>
      <w:r>
        <w:t xml:space="preserve">non-exiters</w:t>
      </w:r>
      <w:r>
        <w:t xml:space="preserve">”</w:t>
      </w:r>
      <w:r>
        <w:t xml:space="preserve">, although lower class groups may see a small difference between those who leave (19,000+) and those who remain (18,000+). Middle group exiters appear to earn less on average (20,100+) than non-exiters (+20,900), although this difference is minor.</w:t>
      </w:r>
    </w:p>
    <w:p>
      <w:pPr>
        <w:pStyle w:val="BodyText"/>
      </w:pPr>
      <w:r>
        <w:t xml:space="preserve">The effect is different for respondents who receive promotions, and those who never receive promotions (Column 4). In each social class group, those who receive at least one promotion typically report higher earnings than those never promoted (during the study). Further, this difference appears largest for high class groups (+7,000), than middle (+4,000) and low EsEC groups (+4,000).</w:t>
      </w:r>
    </w:p>
    <w:p>
      <w:pPr>
        <w:pStyle w:val="BodyText"/>
      </w:pPr>
      <w:r>
        <w:t xml:space="preserve">Generally, low EsEC groups earn the least and high EsEc groups earn the most. Further, mobility carries the largest premium for High EsEC groups than for low or middle EsEC groups. This is especially true for respondents who experienced a promotion, but also applies to High EsEC groups who experience employment exit. A natural question then emerges, does mobility, in itself carry a premium for workers, or can these differences be explained by worker specific measures, who self-select for promtoion or employment exit?</w:t>
      </w:r>
    </w:p>
    <w:p>
      <w:pPr>
        <w:pStyle w:val="BodyText"/>
      </w:pPr>
      <w:r>
        <w:t xml:space="preserve">Although the tables above point to interesting correlations, the difference between groups may be explained by other, unmeasured factors. Job mobility is not a random event, and class differences may be capturing other characteristics of movers and non-movers. Further class-differences in earnings and premiums could account for other factors such as age, and managerial responsibilities, which typically fall on more senior respondents. We explore the unbiased effects on mobility in the neext section, controlling for a range of measures.</w:t>
      </w:r>
    </w:p>
    <w:p>
      <w:pPr>
        <w:pStyle w:val="Heading3"/>
      </w:pPr>
      <w:bookmarkStart w:id="24" w:name="mobilitys-effects-on-earnings"/>
      <w:bookmarkEnd w:id="24"/>
      <w:r>
        <w:t xml:space="preserve">Mobility’s effects on earnings</w:t>
      </w:r>
    </w:p>
    <w:p>
      <w:pPr>
        <w:pStyle w:val="FirstParagraph"/>
      </w:pPr>
      <w:r>
        <w:t xml:space="preserve">This section uses linear fixed effects estimation to consider the impact of job mobility on earnings growth.</w:t>
      </w:r>
    </w:p>
    <w:p>
      <w:pPr>
        <w:pStyle w:val="TableCaption"/>
      </w:pPr>
      <w:r>
        <w:t xml:space="preserve">Estimated fixed-effects of mobility, overall</w:t>
      </w:r>
    </w:p>
    <w:tbl>
      <w:tblPr>
        <w:tblStyle w:val="TableNormal"/>
        <w:tblW w:type="pct" w:w="0.0"/>
        <w:tblLook w:firstRow="1"/>
        <w:tblCaption w:val="Estimated fixed-effects of mobility, overall"/>
      </w:tblPr>
      <w:tblGrid/>
      <w:tr>
        <w:trPr>
          <w:cnfStyle w:firstRow="1"/>
        </w:trPr>
        <w:tc>
          <w:tcPr>
            <w:tcBorders>
              <w:bottom w:val="single"/>
            </w:tcBorders>
            <w:vAlign w:val="bottom"/>
          </w:tcPr>
          <w:p>
            <w:pPr>
              <w:pStyle w:val="Compact"/>
              <w:jc w:val="left"/>
            </w:pPr>
            <w:r>
              <w:t xml:space="preserve">Term</w:t>
            </w:r>
          </w:p>
        </w:tc>
        <w:tc>
          <w:tcPr>
            <w:tcBorders>
              <w:bottom w:val="single"/>
            </w:tcBorders>
            <w:vAlign w:val="bottom"/>
          </w:tcPr>
          <w:p>
            <w:pPr>
              <w:pStyle w:val="Compact"/>
              <w:jc w:val="right"/>
            </w:pPr>
            <w:r>
              <w:t xml:space="preserve">m1</w:t>
            </w:r>
          </w:p>
        </w:tc>
        <w:tc>
          <w:tcPr>
            <w:tcBorders>
              <w:bottom w:val="single"/>
            </w:tcBorders>
            <w:vAlign w:val="bottom"/>
          </w:tcPr>
          <w:p>
            <w:pPr>
              <w:pStyle w:val="Compact"/>
              <w:jc w:val="left"/>
            </w:pPr>
            <w:r>
              <w:t xml:space="preserve">m1_sig</w:t>
            </w:r>
          </w:p>
        </w:tc>
        <w:tc>
          <w:tcPr>
            <w:tcBorders>
              <w:bottom w:val="single"/>
            </w:tcBorders>
            <w:vAlign w:val="bottom"/>
          </w:tcPr>
          <w:p>
            <w:pPr>
              <w:pStyle w:val="Compact"/>
              <w:jc w:val="right"/>
            </w:pPr>
            <w:r>
              <w:t xml:space="preserve">m2</w:t>
            </w:r>
          </w:p>
        </w:tc>
        <w:tc>
          <w:tcPr>
            <w:tcBorders>
              <w:bottom w:val="single"/>
            </w:tcBorders>
            <w:vAlign w:val="bottom"/>
          </w:tcPr>
          <w:p>
            <w:pPr>
              <w:pStyle w:val="Compact"/>
              <w:jc w:val="left"/>
            </w:pPr>
            <w:r>
              <w:t xml:space="preserve">m2_sig</w:t>
            </w:r>
          </w:p>
        </w:tc>
        <w:tc>
          <w:tcPr>
            <w:tcBorders>
              <w:bottom w:val="single"/>
            </w:tcBorders>
            <w:vAlign w:val="bottom"/>
          </w:tcPr>
          <w:p>
            <w:pPr>
              <w:pStyle w:val="Compact"/>
              <w:jc w:val="right"/>
            </w:pPr>
            <w:r>
              <w:t xml:space="preserve">m3</w:t>
            </w:r>
          </w:p>
        </w:tc>
        <w:tc>
          <w:tcPr>
            <w:tcBorders>
              <w:bottom w:val="single"/>
            </w:tcBorders>
            <w:vAlign w:val="bottom"/>
          </w:tcPr>
          <w:p>
            <w:pPr>
              <w:pStyle w:val="Compact"/>
              <w:jc w:val="left"/>
            </w:pPr>
            <w:r>
              <w:t xml:space="preserve">m3_sig</w:t>
            </w:r>
          </w:p>
        </w:tc>
      </w:tr>
      <w:tr>
        <w:tc>
          <w:p>
            <w:pPr>
              <w:pStyle w:val="Compact"/>
              <w:jc w:val="left"/>
            </w:pPr>
            <w:r>
              <w:t xml:space="preserve">marrMarried</w:t>
            </w:r>
          </w:p>
        </w:tc>
        <w:tc>
          <w:p>
            <w:pPr>
              <w:pStyle w:val="Compact"/>
              <w:jc w:val="right"/>
            </w:pPr>
            <w:r>
              <w:t xml:space="preserve">NA</w:t>
            </w:r>
          </w:p>
        </w:tc>
        <w:tc>
          <w:p>
            <w:pPr>
              <w:pStyle w:val="Compact"/>
              <w:jc w:val="left"/>
            </w:pPr>
            <w:r>
              <w:t xml:space="preserve">NA</w:t>
            </w:r>
          </w:p>
        </w:tc>
        <w:tc>
          <w:p>
            <w:pPr>
              <w:pStyle w:val="Compact"/>
              <w:jc w:val="right"/>
            </w:pPr>
            <w:r>
              <w:t xml:space="preserve">-0.052</w:t>
            </w:r>
          </w:p>
        </w:tc>
        <w:tc>
          <w:p>
            <w:pPr>
              <w:pStyle w:val="Compact"/>
              <w:jc w:val="left"/>
            </w:pPr>
            <w:r>
              <w:t xml:space="preserve">**</w:t>
            </w:r>
          </w:p>
        </w:tc>
        <w:tc>
          <w:p>
            <w:pPr>
              <w:pStyle w:val="Compact"/>
              <w:jc w:val="right"/>
            </w:pPr>
            <w:r>
              <w:t xml:space="preserve">-0.090</w:t>
            </w:r>
          </w:p>
        </w:tc>
        <w:tc>
          <w:p>
            <w:pPr>
              <w:pStyle w:val="Compact"/>
              <w:jc w:val="left"/>
            </w:pPr>
            <w:r>
              <w:t xml:space="preserve">***</w:t>
            </w:r>
          </w:p>
        </w:tc>
      </w:tr>
      <w:tr>
        <w:tc>
          <w:p>
            <w:pPr>
              <w:pStyle w:val="Compact"/>
              <w:jc w:val="left"/>
            </w:pPr>
            <w:r>
              <w:t xml:space="preserve">marrSeparated</w:t>
            </w:r>
          </w:p>
        </w:tc>
        <w:tc>
          <w:p>
            <w:pPr>
              <w:pStyle w:val="Compact"/>
              <w:jc w:val="right"/>
            </w:pPr>
            <w:r>
              <w:t xml:space="preserve">NA</w:t>
            </w:r>
          </w:p>
        </w:tc>
        <w:tc>
          <w:p>
            <w:pPr>
              <w:pStyle w:val="Compact"/>
              <w:jc w:val="left"/>
            </w:pPr>
            <w:r>
              <w:t xml:space="preserve">NA</w:t>
            </w:r>
          </w:p>
        </w:tc>
        <w:tc>
          <w:p>
            <w:pPr>
              <w:pStyle w:val="Compact"/>
              <w:jc w:val="right"/>
            </w:pPr>
            <w:r>
              <w:t xml:space="preserve">-0.040</w:t>
            </w:r>
          </w:p>
        </w:tc>
        <w:tc>
          <w:p>
            <w:pPr>
              <w:pStyle w:val="Compact"/>
              <w:jc w:val="left"/>
            </w:pPr>
            <w:r>
              <w:t xml:space="preserve">.</w:t>
            </w:r>
          </w:p>
        </w:tc>
        <w:tc>
          <w:p>
            <w:pPr>
              <w:pStyle w:val="Compact"/>
              <w:jc w:val="right"/>
            </w:pPr>
            <w:r>
              <w:t xml:space="preserve">-0.070</w:t>
            </w:r>
          </w:p>
        </w:tc>
        <w:tc>
          <w:p>
            <w:pPr>
              <w:pStyle w:val="Compact"/>
              <w:jc w:val="left"/>
            </w:pPr>
            <w:r>
              <w:t xml:space="preserve">*</w:t>
            </w:r>
          </w:p>
        </w:tc>
      </w:tr>
      <w:tr>
        <w:tc>
          <w:p>
            <w:pPr>
              <w:pStyle w:val="Compact"/>
              <w:jc w:val="left"/>
            </w:pPr>
            <w:r>
              <w:t xml:space="preserve">mob_finalPromotion</w:t>
            </w:r>
          </w:p>
        </w:tc>
        <w:tc>
          <w:p>
            <w:pPr>
              <w:pStyle w:val="Compact"/>
              <w:jc w:val="right"/>
            </w:pPr>
            <w:r>
              <w:t xml:space="preserve">0.102</w:t>
            </w:r>
          </w:p>
        </w:tc>
        <w:tc>
          <w:p>
            <w:pPr>
              <w:pStyle w:val="Compact"/>
              <w:jc w:val="left"/>
            </w:pPr>
            <w:r>
              <w:t xml:space="preserve">***</w:t>
            </w:r>
          </w:p>
        </w:tc>
        <w:tc>
          <w:p>
            <w:pPr>
              <w:pStyle w:val="Compact"/>
              <w:jc w:val="right"/>
            </w:pPr>
            <w:r>
              <w:t xml:space="preserve">0.102</w:t>
            </w:r>
          </w:p>
        </w:tc>
        <w:tc>
          <w:p>
            <w:pPr>
              <w:pStyle w:val="Compact"/>
              <w:jc w:val="left"/>
            </w:pPr>
            <w:r>
              <w:t xml:space="preserve">***</w:t>
            </w:r>
          </w:p>
        </w:tc>
        <w:tc>
          <w:p>
            <w:pPr>
              <w:pStyle w:val="Compact"/>
              <w:jc w:val="right"/>
            </w:pPr>
            <w:r>
              <w:t xml:space="preserve">0.097</w:t>
            </w:r>
          </w:p>
        </w:tc>
        <w:tc>
          <w:p>
            <w:pPr>
              <w:pStyle w:val="Compact"/>
              <w:jc w:val="left"/>
            </w:pPr>
            <w:r>
              <w:t xml:space="preserve">***</w:t>
            </w:r>
          </w:p>
        </w:tc>
      </w:tr>
      <w:tr>
        <w:tc>
          <w:p>
            <w:pPr>
              <w:pStyle w:val="Compact"/>
              <w:jc w:val="left"/>
            </w:pPr>
            <w:r>
              <w:t xml:space="preserve">mob_finalLateral</w:t>
            </w:r>
          </w:p>
        </w:tc>
        <w:tc>
          <w:p>
            <w:pPr>
              <w:pStyle w:val="Compact"/>
              <w:jc w:val="right"/>
            </w:pPr>
            <w:r>
              <w:t xml:space="preserve">0.024</w:t>
            </w:r>
          </w:p>
        </w:tc>
        <w:tc>
          <w:p>
            <w:pPr>
              <w:pStyle w:val="Compact"/>
            </w:pPr>
          </w:p>
        </w:tc>
        <w:tc>
          <w:p>
            <w:pPr>
              <w:pStyle w:val="Compact"/>
              <w:jc w:val="right"/>
            </w:pPr>
            <w:r>
              <w:t xml:space="preserve">0.023</w:t>
            </w:r>
          </w:p>
        </w:tc>
        <w:tc>
          <w:p>
            <w:pPr>
              <w:pStyle w:val="Compact"/>
            </w:pPr>
          </w:p>
        </w:tc>
        <w:tc>
          <w:p>
            <w:pPr>
              <w:pStyle w:val="Compact"/>
              <w:jc w:val="right"/>
            </w:pPr>
            <w:r>
              <w:t xml:space="preserve">0.048</w:t>
            </w:r>
          </w:p>
        </w:tc>
        <w:tc>
          <w:p>
            <w:pPr>
              <w:pStyle w:val="Compact"/>
              <w:jc w:val="left"/>
            </w:pPr>
            <w:r>
              <w:t xml:space="preserve">.</w:t>
            </w:r>
          </w:p>
        </w:tc>
      </w:tr>
      <w:tr>
        <w:tc>
          <w:p>
            <w:pPr>
              <w:pStyle w:val="Compact"/>
              <w:jc w:val="left"/>
            </w:pPr>
            <w:r>
              <w:t xml:space="preserve">mob_finalExit</w:t>
            </w:r>
          </w:p>
        </w:tc>
        <w:tc>
          <w:p>
            <w:pPr>
              <w:pStyle w:val="Compact"/>
              <w:jc w:val="right"/>
            </w:pPr>
            <w:r>
              <w:t xml:space="preserve">-0.001</w:t>
            </w:r>
          </w:p>
        </w:tc>
        <w:tc>
          <w:p>
            <w:pPr>
              <w:pStyle w:val="Compact"/>
            </w:pPr>
          </w:p>
        </w:tc>
        <w:tc>
          <w:p>
            <w:pPr>
              <w:pStyle w:val="Compact"/>
              <w:jc w:val="right"/>
            </w:pPr>
            <w:r>
              <w:t xml:space="preserve">-0.002</w:t>
            </w:r>
          </w:p>
        </w:tc>
        <w:tc>
          <w:p>
            <w:pPr>
              <w:pStyle w:val="Compact"/>
            </w:pPr>
          </w:p>
        </w:tc>
        <w:tc>
          <w:p>
            <w:pPr>
              <w:pStyle w:val="Compact"/>
              <w:jc w:val="right"/>
            </w:pPr>
            <w:r>
              <w:t xml:space="preserve">-0.006</w:t>
            </w:r>
          </w:p>
        </w:tc>
        <w:tc>
          <w:p>
            <w:pPr>
              <w:pStyle w:val="Compact"/>
            </w:pPr>
          </w:p>
        </w:tc>
      </w:tr>
      <w:tr>
        <w:tc>
          <w:p>
            <w:pPr>
              <w:pStyle w:val="Compact"/>
              <w:jc w:val="left"/>
            </w:pPr>
            <w:r>
              <w:t xml:space="preserve">age</w:t>
            </w:r>
          </w:p>
        </w:tc>
        <w:tc>
          <w:p>
            <w:pPr>
              <w:pStyle w:val="Compact"/>
              <w:jc w:val="right"/>
            </w:pPr>
            <w:r>
              <w:t xml:space="preserve">0.091</w:t>
            </w:r>
          </w:p>
        </w:tc>
        <w:tc>
          <w:p>
            <w:pPr>
              <w:pStyle w:val="Compact"/>
              <w:jc w:val="left"/>
            </w:pPr>
            <w:r>
              <w:t xml:space="preserve">***</w:t>
            </w:r>
          </w:p>
        </w:tc>
        <w:tc>
          <w:p>
            <w:pPr>
              <w:pStyle w:val="Compact"/>
              <w:jc w:val="right"/>
            </w:pPr>
            <w:r>
              <w:t xml:space="preserve">0.092</w:t>
            </w:r>
          </w:p>
        </w:tc>
        <w:tc>
          <w:p>
            <w:pPr>
              <w:pStyle w:val="Compact"/>
              <w:jc w:val="left"/>
            </w:pPr>
            <w:r>
              <w:t xml:space="preserve">***</w:t>
            </w:r>
          </w:p>
        </w:tc>
        <w:tc>
          <w:p>
            <w:pPr>
              <w:pStyle w:val="Compact"/>
              <w:jc w:val="right"/>
            </w:pPr>
            <w:r>
              <w:t xml:space="preserve">0.003</w:t>
            </w:r>
          </w:p>
        </w:tc>
        <w:tc>
          <w:p>
            <w:pPr>
              <w:pStyle w:val="Compact"/>
            </w:pPr>
          </w:p>
        </w:tc>
      </w:tr>
      <w:tr>
        <w:tc>
          <w:p>
            <w:pPr>
              <w:pStyle w:val="Compact"/>
              <w:jc w:val="left"/>
            </w:pPr>
            <w:r>
              <w:t xml:space="preserve">hours</w:t>
            </w:r>
          </w:p>
        </w:tc>
        <w:tc>
          <w:p>
            <w:pPr>
              <w:pStyle w:val="Compact"/>
              <w:jc w:val="right"/>
            </w:pPr>
            <w:r>
              <w:t xml:space="preserve">0.007</w:t>
            </w:r>
          </w:p>
        </w:tc>
        <w:tc>
          <w:p>
            <w:pPr>
              <w:pStyle w:val="Compact"/>
              <w:jc w:val="left"/>
            </w:pPr>
            <w:r>
              <w:t xml:space="preserve">***</w:t>
            </w:r>
          </w:p>
        </w:tc>
        <w:tc>
          <w:p>
            <w:pPr>
              <w:pStyle w:val="Compact"/>
              <w:jc w:val="right"/>
            </w:pPr>
            <w:r>
              <w:t xml:space="preserve">0.007</w:t>
            </w:r>
          </w:p>
        </w:tc>
        <w:tc>
          <w:p>
            <w:pPr>
              <w:pStyle w:val="Compact"/>
              <w:jc w:val="left"/>
            </w:pPr>
            <w:r>
              <w:t xml:space="preserve">***</w:t>
            </w:r>
          </w:p>
        </w:tc>
        <w:tc>
          <w:p>
            <w:pPr>
              <w:pStyle w:val="Compact"/>
              <w:jc w:val="right"/>
            </w:pPr>
            <w:r>
              <w:t xml:space="preserve">0.006</w:t>
            </w:r>
          </w:p>
        </w:tc>
        <w:tc>
          <w:p>
            <w:pPr>
              <w:pStyle w:val="Compact"/>
              <w:jc w:val="left"/>
            </w:pPr>
            <w:r>
              <w:t xml:space="preserve">***</w:t>
            </w:r>
          </w:p>
        </w:tc>
      </w:tr>
      <w:tr>
        <w:tc>
          <w:p>
            <w:pPr>
              <w:pStyle w:val="Compact"/>
              <w:jc w:val="left"/>
            </w:pPr>
            <w:r>
              <w:t xml:space="preserve">firm_size</w:t>
            </w:r>
          </w:p>
        </w:tc>
        <w:tc>
          <w:p>
            <w:pPr>
              <w:pStyle w:val="Compact"/>
              <w:jc w:val="right"/>
            </w:pPr>
            <w:r>
              <w:t xml:space="preserve">NA</w:t>
            </w:r>
          </w:p>
        </w:tc>
        <w:tc>
          <w:p>
            <w:pPr>
              <w:pStyle w:val="Compact"/>
              <w:jc w:val="left"/>
            </w:pPr>
            <w:r>
              <w:t xml:space="preserve">NA</w:t>
            </w:r>
          </w:p>
        </w:tc>
        <w:tc>
          <w:p>
            <w:pPr>
              <w:pStyle w:val="Compact"/>
              <w:jc w:val="right"/>
            </w:pPr>
            <w:r>
              <w:t xml:space="preserve">NA</w:t>
            </w:r>
          </w:p>
        </w:tc>
        <w:tc>
          <w:p>
            <w:pPr>
              <w:pStyle w:val="Compact"/>
              <w:jc w:val="left"/>
            </w:pPr>
            <w:r>
              <w:t xml:space="preserve">NA</w:t>
            </w:r>
          </w:p>
        </w:tc>
        <w:tc>
          <w:p>
            <w:pPr>
              <w:pStyle w:val="Compact"/>
              <w:jc w:val="right"/>
            </w:pPr>
            <w:r>
              <w:t xml:space="preserve">0.000</w:t>
            </w:r>
          </w:p>
        </w:tc>
        <w:tc>
          <w:p>
            <w:pPr>
              <w:pStyle w:val="Compact"/>
              <w:jc w:val="left"/>
            </w:pPr>
            <w:r>
              <w:t xml:space="preserve">*</w:t>
            </w:r>
          </w:p>
        </w:tc>
      </w:tr>
      <w:tr>
        <w:tc>
          <w:p>
            <w:pPr>
              <w:pStyle w:val="Compact"/>
              <w:jc w:val="left"/>
            </w:pPr>
            <w:r>
              <w:t xml:space="preserve">round21</w:t>
            </w:r>
          </w:p>
        </w:tc>
        <w:tc>
          <w:p>
            <w:pPr>
              <w:pStyle w:val="Compact"/>
              <w:jc w:val="right"/>
            </w:pPr>
            <w:r>
              <w:t xml:space="preserve">NA</w:t>
            </w:r>
          </w:p>
        </w:tc>
        <w:tc>
          <w:p>
            <w:pPr>
              <w:pStyle w:val="Compact"/>
              <w:jc w:val="left"/>
            </w:pPr>
            <w:r>
              <w:t xml:space="preserve">NA</w:t>
            </w:r>
          </w:p>
        </w:tc>
        <w:tc>
          <w:p>
            <w:pPr>
              <w:pStyle w:val="Compact"/>
              <w:jc w:val="right"/>
            </w:pPr>
            <w:r>
              <w:t xml:space="preserve">NA</w:t>
            </w:r>
          </w:p>
        </w:tc>
        <w:tc>
          <w:p>
            <w:pPr>
              <w:pStyle w:val="Compact"/>
              <w:jc w:val="left"/>
            </w:pPr>
            <w:r>
              <w:t xml:space="preserve">NA</w:t>
            </w:r>
          </w:p>
        </w:tc>
        <w:tc>
          <w:p>
            <w:pPr>
              <w:pStyle w:val="Compact"/>
              <w:jc w:val="right"/>
            </w:pPr>
            <w:r>
              <w:t xml:space="preserve">0.132</w:t>
            </w:r>
          </w:p>
        </w:tc>
        <w:tc>
          <w:p>
            <w:pPr>
              <w:pStyle w:val="Compact"/>
              <w:jc w:val="left"/>
            </w:pPr>
            <w:r>
              <w:t xml:space="preserve">***</w:t>
            </w:r>
          </w:p>
        </w:tc>
      </w:tr>
      <w:tr>
        <w:tc>
          <w:p>
            <w:pPr>
              <w:pStyle w:val="Compact"/>
              <w:jc w:val="left"/>
            </w:pPr>
            <w:r>
              <w:t xml:space="preserve">round22</w:t>
            </w:r>
          </w:p>
        </w:tc>
        <w:tc>
          <w:p>
            <w:pPr>
              <w:pStyle w:val="Compact"/>
              <w:jc w:val="right"/>
            </w:pPr>
            <w:r>
              <w:t xml:space="preserve">NA</w:t>
            </w:r>
          </w:p>
        </w:tc>
        <w:tc>
          <w:p>
            <w:pPr>
              <w:pStyle w:val="Compact"/>
              <w:jc w:val="left"/>
            </w:pPr>
            <w:r>
              <w:t xml:space="preserve">NA</w:t>
            </w:r>
          </w:p>
        </w:tc>
        <w:tc>
          <w:p>
            <w:pPr>
              <w:pStyle w:val="Compact"/>
              <w:jc w:val="right"/>
            </w:pPr>
            <w:r>
              <w:t xml:space="preserve">NA</w:t>
            </w:r>
          </w:p>
        </w:tc>
        <w:tc>
          <w:p>
            <w:pPr>
              <w:pStyle w:val="Compact"/>
              <w:jc w:val="left"/>
            </w:pPr>
            <w:r>
              <w:t xml:space="preserve">NA</w:t>
            </w:r>
          </w:p>
        </w:tc>
        <w:tc>
          <w:p>
            <w:pPr>
              <w:pStyle w:val="Compact"/>
              <w:jc w:val="right"/>
            </w:pPr>
            <w:r>
              <w:t xml:space="preserve">0.252</w:t>
            </w:r>
          </w:p>
        </w:tc>
        <w:tc>
          <w:p>
            <w:pPr>
              <w:pStyle w:val="Compact"/>
              <w:jc w:val="left"/>
            </w:pPr>
            <w:r>
              <w:t xml:space="preserve">***</w:t>
            </w:r>
          </w:p>
        </w:tc>
      </w:tr>
      <w:tr>
        <w:tc>
          <w:p>
            <w:pPr>
              <w:pStyle w:val="Compact"/>
              <w:jc w:val="left"/>
            </w:pPr>
            <w:r>
              <w:t xml:space="preserve">round23</w:t>
            </w:r>
          </w:p>
        </w:tc>
        <w:tc>
          <w:p>
            <w:pPr>
              <w:pStyle w:val="Compact"/>
              <w:jc w:val="right"/>
            </w:pPr>
            <w:r>
              <w:t xml:space="preserve">NA</w:t>
            </w:r>
          </w:p>
        </w:tc>
        <w:tc>
          <w:p>
            <w:pPr>
              <w:pStyle w:val="Compact"/>
              <w:jc w:val="left"/>
            </w:pPr>
            <w:r>
              <w:t xml:space="preserve">NA</w:t>
            </w:r>
          </w:p>
        </w:tc>
        <w:tc>
          <w:p>
            <w:pPr>
              <w:pStyle w:val="Compact"/>
              <w:jc w:val="right"/>
            </w:pPr>
            <w:r>
              <w:t xml:space="preserve">NA</w:t>
            </w:r>
          </w:p>
        </w:tc>
        <w:tc>
          <w:p>
            <w:pPr>
              <w:pStyle w:val="Compact"/>
              <w:jc w:val="left"/>
            </w:pPr>
            <w:r>
              <w:t xml:space="preserve">NA</w:t>
            </w:r>
          </w:p>
        </w:tc>
        <w:tc>
          <w:p>
            <w:pPr>
              <w:pStyle w:val="Compact"/>
              <w:jc w:val="right"/>
            </w:pPr>
            <w:r>
              <w:t xml:space="preserve">0.319</w:t>
            </w:r>
          </w:p>
        </w:tc>
        <w:tc>
          <w:p>
            <w:pPr>
              <w:pStyle w:val="Compact"/>
              <w:jc w:val="left"/>
            </w:pPr>
            <w:r>
              <w:t xml:space="preserve">***</w:t>
            </w:r>
          </w:p>
        </w:tc>
      </w:tr>
      <w:tr>
        <w:tc>
          <w:p>
            <w:pPr>
              <w:pStyle w:val="Compact"/>
              <w:jc w:val="left"/>
            </w:pPr>
            <w:r>
              <w:t xml:space="preserve">round24</w:t>
            </w:r>
          </w:p>
        </w:tc>
        <w:tc>
          <w:p>
            <w:pPr>
              <w:pStyle w:val="Compact"/>
              <w:jc w:val="right"/>
            </w:pPr>
            <w:r>
              <w:t xml:space="preserve">NA</w:t>
            </w:r>
          </w:p>
        </w:tc>
        <w:tc>
          <w:p>
            <w:pPr>
              <w:pStyle w:val="Compact"/>
              <w:jc w:val="left"/>
            </w:pPr>
            <w:r>
              <w:t xml:space="preserve">NA</w:t>
            </w:r>
          </w:p>
        </w:tc>
        <w:tc>
          <w:p>
            <w:pPr>
              <w:pStyle w:val="Compact"/>
              <w:jc w:val="right"/>
            </w:pPr>
            <w:r>
              <w:t xml:space="preserve">NA</w:t>
            </w:r>
          </w:p>
        </w:tc>
        <w:tc>
          <w:p>
            <w:pPr>
              <w:pStyle w:val="Compact"/>
              <w:jc w:val="left"/>
            </w:pPr>
            <w:r>
              <w:t xml:space="preserve">NA</w:t>
            </w:r>
          </w:p>
        </w:tc>
        <w:tc>
          <w:p>
            <w:pPr>
              <w:pStyle w:val="Compact"/>
              <w:jc w:val="right"/>
            </w:pPr>
            <w:r>
              <w:t xml:space="preserve">0.374</w:t>
            </w:r>
          </w:p>
        </w:tc>
        <w:tc>
          <w:p>
            <w:pPr>
              <w:pStyle w:val="Compact"/>
              <w:jc w:val="left"/>
            </w:pPr>
            <w:r>
              <w:t xml:space="preserve">***</w:t>
            </w:r>
          </w:p>
        </w:tc>
      </w:tr>
    </w:tbl>
    <w:p>
      <w:pPr>
        <w:pStyle w:val="BodyText"/>
      </w:pPr>
      <w:r>
        <w:t xml:space="preserve">The models in Table 5 list the stimated fixed effect of moving to a new position, controlling for a number of important measures, mainly changes in marital status, changes in age, changes in hours worked by individuals, changes in the number of people employed in the firm, and changes over time throughout the panel. The most basic model captures the effect of mobility, while controlling for age and daily working hours. Promotion and lateral moves both have a positive effect on earnings, but only promotions have a significant effect (10%). Employee exits from the firm have no significant effect on earnings, suggesting that workers who move directly from one firm to another are able to recreate their pay with a new employer. Changes in age have a positive effect on earnings, as workers age, they see a premium in pay. Changes in working hours also lead to significant positive changes in pay.</w:t>
      </w:r>
    </w:p>
    <w:p>
      <w:pPr>
        <w:pStyle w:val="BodyText"/>
      </w:pPr>
      <w:r>
        <w:t xml:space="preserve">Model 2 controls for changes in marital status, which typically lead to earnings growth. In our case however, transitions in marriage and out of marriage lead to a significant fall in earnings, even when controlling for changes in working hours. Importantly, the significant effect of promotion on earnings growth remains, even when we control for changes in household composition. The effects of age and working hours are largely unchanged.</w:t>
      </w:r>
    </w:p>
    <w:p>
      <w:pPr>
        <w:pStyle w:val="BodyText"/>
      </w:pPr>
      <w:r>
        <w:t xml:space="preserve">Model 3 controls for changes infirm_size, and changes between survey rounds. Changes in firm size have an extremely small but positive and significant effect on earnings growth. This makes sense, as the firm grows, so too may the earnings of those working in the firm, even if the respondents themselves remain in the same job with the same employer. The effects of rounds is also positive and signifficant. This effect also fully explains the changes in earnings tied to age (which is no longer significant). Once agains, the estimated effects of mobility are not explained by the models.</w:t>
      </w:r>
    </w:p>
    <w:p>
      <w:pPr>
        <w:pStyle w:val="Heading3"/>
      </w:pPr>
      <w:bookmarkStart w:id="25" w:name="class-differences-between-mobiltiy-types"/>
      <w:bookmarkEnd w:id="25"/>
      <w:r>
        <w:t xml:space="preserve">Class differences between mobiltiy types</w:t>
      </w:r>
    </w:p>
    <w:p>
      <w:pPr>
        <w:pStyle w:val="TableCaption"/>
      </w:pPr>
      <w:r>
        <w:t xml:space="preserve">Estimated fixed-effects of mobility, by class</w:t>
      </w:r>
    </w:p>
    <w:tbl>
      <w:tblPr>
        <w:tblStyle w:val="TableNormal"/>
        <w:tblW w:type="pct" w:w="0.0"/>
        <w:tblLook w:firstRow="1"/>
        <w:tblCaption w:val="Estimated fixed-effects of mobility, by class"/>
      </w:tblPr>
      <w:tblGrid/>
      <w:tr>
        <w:trPr>
          <w:cnfStyle w:firstRow="1"/>
        </w:trPr>
        <w:tc>
          <w:tcPr>
            <w:tcBorders>
              <w:bottom w:val="single"/>
            </w:tcBorders>
            <w:vAlign w:val="bottom"/>
          </w:tcPr>
          <w:p>
            <w:pPr>
              <w:pStyle w:val="Compact"/>
              <w:jc w:val="left"/>
            </w:pPr>
            <w:r>
              <w:t xml:space="preserve">Term</w:t>
            </w:r>
          </w:p>
        </w:tc>
        <w:tc>
          <w:tcPr>
            <w:tcBorders>
              <w:bottom w:val="single"/>
            </w:tcBorders>
            <w:vAlign w:val="bottom"/>
          </w:tcPr>
          <w:p>
            <w:pPr>
              <w:pStyle w:val="Compact"/>
              <w:jc w:val="right"/>
            </w:pPr>
            <w:r>
              <w:t xml:space="preserve">mHi</w:t>
            </w:r>
          </w:p>
        </w:tc>
        <w:tc>
          <w:tcPr>
            <w:tcBorders>
              <w:bottom w:val="single"/>
            </w:tcBorders>
            <w:vAlign w:val="bottom"/>
          </w:tcPr>
          <w:p>
            <w:pPr>
              <w:pStyle w:val="Compact"/>
              <w:jc w:val="left"/>
            </w:pPr>
            <w:r>
              <w:t xml:space="preserve">mHi_sig</w:t>
            </w:r>
          </w:p>
        </w:tc>
        <w:tc>
          <w:tcPr>
            <w:tcBorders>
              <w:bottom w:val="single"/>
            </w:tcBorders>
            <w:vAlign w:val="bottom"/>
          </w:tcPr>
          <w:p>
            <w:pPr>
              <w:pStyle w:val="Compact"/>
              <w:jc w:val="right"/>
            </w:pPr>
            <w:r>
              <w:t xml:space="preserve">mMid</w:t>
            </w:r>
          </w:p>
        </w:tc>
        <w:tc>
          <w:tcPr>
            <w:tcBorders>
              <w:bottom w:val="single"/>
            </w:tcBorders>
            <w:vAlign w:val="bottom"/>
          </w:tcPr>
          <w:p>
            <w:pPr>
              <w:pStyle w:val="Compact"/>
              <w:jc w:val="left"/>
            </w:pPr>
            <w:r>
              <w:t xml:space="preserve">mMid_sig</w:t>
            </w:r>
          </w:p>
        </w:tc>
        <w:tc>
          <w:tcPr>
            <w:tcBorders>
              <w:bottom w:val="single"/>
            </w:tcBorders>
            <w:vAlign w:val="bottom"/>
          </w:tcPr>
          <w:p>
            <w:pPr>
              <w:pStyle w:val="Compact"/>
              <w:jc w:val="right"/>
            </w:pPr>
            <w:r>
              <w:t xml:space="preserve">mLo</w:t>
            </w:r>
          </w:p>
        </w:tc>
        <w:tc>
          <w:tcPr>
            <w:tcBorders>
              <w:bottom w:val="single"/>
            </w:tcBorders>
            <w:vAlign w:val="bottom"/>
          </w:tcPr>
          <w:p>
            <w:pPr>
              <w:pStyle w:val="Compact"/>
              <w:jc w:val="left"/>
            </w:pPr>
            <w:r>
              <w:t xml:space="preserve">m3_Lo</w:t>
            </w:r>
          </w:p>
        </w:tc>
      </w:tr>
      <w:tr>
        <w:tc>
          <w:p>
            <w:pPr>
              <w:pStyle w:val="Compact"/>
              <w:jc w:val="left"/>
            </w:pPr>
            <w:r>
              <w:t xml:space="preserve">marrMarried</w:t>
            </w:r>
          </w:p>
        </w:tc>
        <w:tc>
          <w:p>
            <w:pPr>
              <w:pStyle w:val="Compact"/>
              <w:jc w:val="right"/>
            </w:pPr>
            <w:r>
              <w:t xml:space="preserve">-0.049</w:t>
            </w:r>
          </w:p>
        </w:tc>
        <w:tc>
          <w:p>
            <w:pPr>
              <w:pStyle w:val="Compact"/>
            </w:pPr>
          </w:p>
        </w:tc>
        <w:tc>
          <w:p>
            <w:pPr>
              <w:pStyle w:val="Compact"/>
              <w:jc w:val="right"/>
            </w:pPr>
            <w:r>
              <w:t xml:space="preserve">0.078</w:t>
            </w:r>
          </w:p>
        </w:tc>
        <w:tc>
          <w:p>
            <w:pPr>
              <w:pStyle w:val="Compact"/>
            </w:pPr>
          </w:p>
        </w:tc>
        <w:tc>
          <w:p>
            <w:pPr>
              <w:pStyle w:val="Compact"/>
              <w:jc w:val="right"/>
            </w:pPr>
            <w:r>
              <w:t xml:space="preserve">0.009</w:t>
            </w:r>
          </w:p>
        </w:tc>
        <w:tc>
          <w:p>
            <w:pPr>
              <w:pStyle w:val="Compact"/>
            </w:pPr>
          </w:p>
        </w:tc>
      </w:tr>
      <w:tr>
        <w:tc>
          <w:p>
            <w:pPr>
              <w:pStyle w:val="Compact"/>
              <w:jc w:val="left"/>
            </w:pPr>
            <w:r>
              <w:t xml:space="preserve">marrSeparated</w:t>
            </w:r>
          </w:p>
        </w:tc>
        <w:tc>
          <w:p>
            <w:pPr>
              <w:pStyle w:val="Compact"/>
              <w:jc w:val="right"/>
            </w:pPr>
            <w:r>
              <w:t xml:space="preserve">0.032</w:t>
            </w:r>
          </w:p>
        </w:tc>
        <w:tc>
          <w:p>
            <w:pPr>
              <w:pStyle w:val="Compact"/>
            </w:pPr>
          </w:p>
        </w:tc>
        <w:tc>
          <w:p>
            <w:pPr>
              <w:pStyle w:val="Compact"/>
              <w:jc w:val="right"/>
            </w:pPr>
            <w:r>
              <w:t xml:space="preserve">-0.093</w:t>
            </w:r>
          </w:p>
        </w:tc>
        <w:tc>
          <w:p>
            <w:pPr>
              <w:pStyle w:val="Compact"/>
            </w:pPr>
          </w:p>
        </w:tc>
        <w:tc>
          <w:p>
            <w:pPr>
              <w:pStyle w:val="Compact"/>
              <w:jc w:val="right"/>
            </w:pPr>
            <w:r>
              <w:t xml:space="preserve">-0.003</w:t>
            </w:r>
          </w:p>
        </w:tc>
        <w:tc>
          <w:p>
            <w:pPr>
              <w:pStyle w:val="Compact"/>
            </w:pPr>
          </w:p>
        </w:tc>
      </w:tr>
      <w:tr>
        <w:tc>
          <w:p>
            <w:pPr>
              <w:pStyle w:val="Compact"/>
              <w:jc w:val="left"/>
            </w:pPr>
            <w:r>
              <w:t xml:space="preserve">mob_finalPromotion</w:t>
            </w:r>
          </w:p>
        </w:tc>
        <w:tc>
          <w:p>
            <w:pPr>
              <w:pStyle w:val="Compact"/>
              <w:jc w:val="right"/>
            </w:pPr>
            <w:r>
              <w:t xml:space="preserve">0.083</w:t>
            </w:r>
          </w:p>
        </w:tc>
        <w:tc>
          <w:p>
            <w:pPr>
              <w:pStyle w:val="Compact"/>
              <w:jc w:val="left"/>
            </w:pPr>
            <w:r>
              <w:t xml:space="preserve">***</w:t>
            </w:r>
          </w:p>
        </w:tc>
        <w:tc>
          <w:p>
            <w:pPr>
              <w:pStyle w:val="Compact"/>
              <w:jc w:val="right"/>
            </w:pPr>
            <w:r>
              <w:t xml:space="preserve">0.097</w:t>
            </w:r>
          </w:p>
        </w:tc>
        <w:tc>
          <w:p>
            <w:pPr>
              <w:pStyle w:val="Compact"/>
              <w:jc w:val="left"/>
            </w:pPr>
            <w:r>
              <w:t xml:space="preserve">.</w:t>
            </w:r>
          </w:p>
        </w:tc>
        <w:tc>
          <w:p>
            <w:pPr>
              <w:pStyle w:val="Compact"/>
              <w:jc w:val="right"/>
            </w:pPr>
            <w:r>
              <w:t xml:space="preserve">-0.048</w:t>
            </w:r>
          </w:p>
        </w:tc>
        <w:tc>
          <w:p>
            <w:pPr>
              <w:pStyle w:val="Compact"/>
            </w:pPr>
          </w:p>
        </w:tc>
      </w:tr>
      <w:tr>
        <w:tc>
          <w:p>
            <w:pPr>
              <w:pStyle w:val="Compact"/>
              <w:jc w:val="left"/>
            </w:pPr>
            <w:r>
              <w:t xml:space="preserve">mob_finalLateral</w:t>
            </w:r>
          </w:p>
        </w:tc>
        <w:tc>
          <w:p>
            <w:pPr>
              <w:pStyle w:val="Compact"/>
              <w:jc w:val="right"/>
            </w:pPr>
            <w:r>
              <w:t xml:space="preserve">-0.017</w:t>
            </w:r>
          </w:p>
        </w:tc>
        <w:tc>
          <w:p>
            <w:pPr>
              <w:pStyle w:val="Compact"/>
            </w:pPr>
          </w:p>
        </w:tc>
        <w:tc>
          <w:p>
            <w:pPr>
              <w:pStyle w:val="Compact"/>
              <w:jc w:val="right"/>
            </w:pPr>
            <w:r>
              <w:t xml:space="preserve">0.184</w:t>
            </w:r>
          </w:p>
        </w:tc>
        <w:tc>
          <w:p>
            <w:pPr>
              <w:pStyle w:val="Compact"/>
              <w:jc w:val="left"/>
            </w:pPr>
            <w:r>
              <w:t xml:space="preserve">.</w:t>
            </w:r>
          </w:p>
        </w:tc>
        <w:tc>
          <w:p>
            <w:pPr>
              <w:pStyle w:val="Compact"/>
              <w:jc w:val="right"/>
            </w:pPr>
            <w:r>
              <w:t xml:space="preserve">0.010</w:t>
            </w:r>
          </w:p>
        </w:tc>
        <w:tc>
          <w:p>
            <w:pPr>
              <w:pStyle w:val="Compact"/>
            </w:pPr>
          </w:p>
        </w:tc>
      </w:tr>
      <w:tr>
        <w:tc>
          <w:p>
            <w:pPr>
              <w:pStyle w:val="Compact"/>
              <w:jc w:val="left"/>
            </w:pPr>
            <w:r>
              <w:t xml:space="preserve">mob_finalExit</w:t>
            </w:r>
          </w:p>
        </w:tc>
        <w:tc>
          <w:p>
            <w:pPr>
              <w:pStyle w:val="Compact"/>
              <w:jc w:val="right"/>
            </w:pPr>
            <w:r>
              <w:t xml:space="preserve">-0.002</w:t>
            </w:r>
          </w:p>
        </w:tc>
        <w:tc>
          <w:p>
            <w:pPr>
              <w:pStyle w:val="Compact"/>
            </w:pPr>
          </w:p>
        </w:tc>
        <w:tc>
          <w:p>
            <w:pPr>
              <w:pStyle w:val="Compact"/>
              <w:jc w:val="right"/>
            </w:pPr>
            <w:r>
              <w:t xml:space="preserve">0.029</w:t>
            </w:r>
          </w:p>
        </w:tc>
        <w:tc>
          <w:p>
            <w:pPr>
              <w:pStyle w:val="Compact"/>
            </w:pPr>
          </w:p>
        </w:tc>
        <w:tc>
          <w:p>
            <w:pPr>
              <w:pStyle w:val="Compact"/>
              <w:jc w:val="right"/>
            </w:pPr>
            <w:r>
              <w:t xml:space="preserve">-0.043</w:t>
            </w:r>
          </w:p>
        </w:tc>
        <w:tc>
          <w:p>
            <w:pPr>
              <w:pStyle w:val="Compact"/>
              <w:jc w:val="left"/>
            </w:pPr>
            <w:r>
              <w:t xml:space="preserve">**</w:t>
            </w:r>
          </w:p>
        </w:tc>
      </w:tr>
      <w:tr>
        <w:tc>
          <w:p>
            <w:pPr>
              <w:pStyle w:val="Compact"/>
              <w:jc w:val="left"/>
            </w:pPr>
            <w:r>
              <w:t xml:space="preserve">age</w:t>
            </w:r>
          </w:p>
        </w:tc>
        <w:tc>
          <w:p>
            <w:pPr>
              <w:pStyle w:val="Compact"/>
              <w:jc w:val="right"/>
            </w:pPr>
            <w:r>
              <w:t xml:space="preserve">0.000</w:t>
            </w:r>
          </w:p>
        </w:tc>
        <w:tc>
          <w:p>
            <w:pPr>
              <w:pStyle w:val="Compact"/>
            </w:pPr>
          </w:p>
        </w:tc>
        <w:tc>
          <w:p>
            <w:pPr>
              <w:pStyle w:val="Compact"/>
              <w:jc w:val="right"/>
            </w:pPr>
            <w:r>
              <w:t xml:space="preserve">0.006</w:t>
            </w:r>
          </w:p>
        </w:tc>
        <w:tc>
          <w:p>
            <w:pPr>
              <w:pStyle w:val="Compact"/>
            </w:pPr>
          </w:p>
        </w:tc>
        <w:tc>
          <w:p>
            <w:pPr>
              <w:pStyle w:val="Compact"/>
              <w:jc w:val="right"/>
            </w:pPr>
            <w:r>
              <w:t xml:space="preserve">-0.016</w:t>
            </w:r>
          </w:p>
        </w:tc>
        <w:tc>
          <w:p>
            <w:pPr>
              <w:pStyle w:val="Compact"/>
            </w:pPr>
          </w:p>
        </w:tc>
      </w:tr>
      <w:tr>
        <w:tc>
          <w:p>
            <w:pPr>
              <w:pStyle w:val="Compact"/>
              <w:jc w:val="left"/>
            </w:pPr>
            <w:r>
              <w:t xml:space="preserve">hours</w:t>
            </w:r>
          </w:p>
        </w:tc>
        <w:tc>
          <w:p>
            <w:pPr>
              <w:pStyle w:val="Compact"/>
              <w:jc w:val="right"/>
            </w:pPr>
            <w:r>
              <w:t xml:space="preserve">0.015</w:t>
            </w:r>
          </w:p>
        </w:tc>
        <w:tc>
          <w:p>
            <w:pPr>
              <w:pStyle w:val="Compact"/>
              <w:jc w:val="left"/>
            </w:pPr>
            <w:r>
              <w:t xml:space="preserve">***</w:t>
            </w:r>
          </w:p>
        </w:tc>
        <w:tc>
          <w:p>
            <w:pPr>
              <w:pStyle w:val="Compact"/>
              <w:jc w:val="right"/>
            </w:pPr>
            <w:r>
              <w:t xml:space="preserve">0.006</w:t>
            </w:r>
          </w:p>
        </w:tc>
        <w:tc>
          <w:p>
            <w:pPr>
              <w:pStyle w:val="Compact"/>
            </w:pPr>
          </w:p>
        </w:tc>
        <w:tc>
          <w:p>
            <w:pPr>
              <w:pStyle w:val="Compact"/>
              <w:jc w:val="right"/>
            </w:pPr>
            <w:r>
              <w:t xml:space="preserve">0.004</w:t>
            </w:r>
          </w:p>
        </w:tc>
        <w:tc>
          <w:p>
            <w:pPr>
              <w:pStyle w:val="Compact"/>
              <w:jc w:val="left"/>
            </w:pPr>
            <w:r>
              <w:t xml:space="preserve">*</w:t>
            </w:r>
          </w:p>
        </w:tc>
      </w:tr>
      <w:tr>
        <w:tc>
          <w:p>
            <w:pPr>
              <w:pStyle w:val="Compact"/>
              <w:jc w:val="left"/>
            </w:pPr>
            <w:r>
              <w:t xml:space="preserve">firm_size</w:t>
            </w:r>
          </w:p>
        </w:tc>
        <w:tc>
          <w:p>
            <w:pPr>
              <w:pStyle w:val="Compact"/>
              <w:jc w:val="right"/>
            </w:pPr>
            <w:r>
              <w:t xml:space="preserve">0.000</w:t>
            </w:r>
          </w:p>
        </w:tc>
        <w:tc>
          <w:p>
            <w:pPr>
              <w:pStyle w:val="Compact"/>
              <w:jc w:val="left"/>
            </w:pPr>
            <w:r>
              <w:t xml:space="preserve">**</w:t>
            </w:r>
          </w:p>
        </w:tc>
        <w:tc>
          <w:p>
            <w:pPr>
              <w:pStyle w:val="Compact"/>
              <w:jc w:val="right"/>
            </w:pPr>
            <w:r>
              <w:t xml:space="preserve">0.000</w:t>
            </w:r>
          </w:p>
        </w:tc>
        <w:tc>
          <w:p>
            <w:pPr>
              <w:pStyle w:val="Compact"/>
            </w:pPr>
          </w:p>
        </w:tc>
        <w:tc>
          <w:p>
            <w:pPr>
              <w:pStyle w:val="Compact"/>
              <w:jc w:val="right"/>
            </w:pPr>
            <w:r>
              <w:t xml:space="preserve">0.000</w:t>
            </w:r>
          </w:p>
        </w:tc>
        <w:tc>
          <w:p>
            <w:pPr>
              <w:pStyle w:val="Compact"/>
            </w:pPr>
          </w:p>
        </w:tc>
      </w:tr>
      <w:tr>
        <w:tc>
          <w:p>
            <w:pPr>
              <w:pStyle w:val="Compact"/>
              <w:jc w:val="left"/>
            </w:pPr>
            <w:r>
              <w:t xml:space="preserve">round21</w:t>
            </w:r>
          </w:p>
        </w:tc>
        <w:tc>
          <w:p>
            <w:pPr>
              <w:pStyle w:val="Compact"/>
              <w:jc w:val="right"/>
            </w:pPr>
            <w:r>
              <w:t xml:space="preserve">0.130</w:t>
            </w:r>
          </w:p>
        </w:tc>
        <w:tc>
          <w:p>
            <w:pPr>
              <w:pStyle w:val="Compact"/>
              <w:jc w:val="left"/>
            </w:pPr>
            <w:r>
              <w:t xml:space="preserve">***</w:t>
            </w:r>
          </w:p>
        </w:tc>
        <w:tc>
          <w:p>
            <w:pPr>
              <w:pStyle w:val="Compact"/>
              <w:jc w:val="right"/>
            </w:pPr>
            <w:r>
              <w:t xml:space="preserve">0.106</w:t>
            </w:r>
          </w:p>
        </w:tc>
        <w:tc>
          <w:p>
            <w:pPr>
              <w:pStyle w:val="Compact"/>
              <w:jc w:val="left"/>
            </w:pPr>
            <w:r>
              <w:t xml:space="preserve">**</w:t>
            </w:r>
          </w:p>
        </w:tc>
        <w:tc>
          <w:p>
            <w:pPr>
              <w:pStyle w:val="Compact"/>
              <w:jc w:val="right"/>
            </w:pPr>
            <w:r>
              <w:t xml:space="preserve">0.159</w:t>
            </w:r>
          </w:p>
        </w:tc>
        <w:tc>
          <w:p>
            <w:pPr>
              <w:pStyle w:val="Compact"/>
              <w:jc w:val="left"/>
            </w:pPr>
            <w:r>
              <w:t xml:space="preserve">***</w:t>
            </w:r>
          </w:p>
        </w:tc>
      </w:tr>
      <w:tr>
        <w:tc>
          <w:p>
            <w:pPr>
              <w:pStyle w:val="Compact"/>
              <w:jc w:val="left"/>
            </w:pPr>
            <w:r>
              <w:t xml:space="preserve">round22</w:t>
            </w:r>
          </w:p>
        </w:tc>
        <w:tc>
          <w:p>
            <w:pPr>
              <w:pStyle w:val="Compact"/>
              <w:jc w:val="right"/>
            </w:pPr>
            <w:r>
              <w:t xml:space="preserve">0.275</w:t>
            </w:r>
          </w:p>
        </w:tc>
        <w:tc>
          <w:p>
            <w:pPr>
              <w:pStyle w:val="Compact"/>
              <w:jc w:val="left"/>
            </w:pPr>
            <w:r>
              <w:t xml:space="preserve">***</w:t>
            </w:r>
          </w:p>
        </w:tc>
        <w:tc>
          <w:p>
            <w:pPr>
              <w:pStyle w:val="Compact"/>
              <w:jc w:val="right"/>
            </w:pPr>
            <w:r>
              <w:t xml:space="preserve">0.220</w:t>
            </w:r>
          </w:p>
        </w:tc>
        <w:tc>
          <w:p>
            <w:pPr>
              <w:pStyle w:val="Compact"/>
              <w:jc w:val="left"/>
            </w:pPr>
            <w:r>
              <w:t xml:space="preserve">**</w:t>
            </w:r>
          </w:p>
        </w:tc>
        <w:tc>
          <w:p>
            <w:pPr>
              <w:pStyle w:val="Compact"/>
              <w:jc w:val="right"/>
            </w:pPr>
            <w:r>
              <w:t xml:space="preserve">0.275</w:t>
            </w:r>
          </w:p>
        </w:tc>
        <w:tc>
          <w:p>
            <w:pPr>
              <w:pStyle w:val="Compact"/>
              <w:jc w:val="left"/>
            </w:pPr>
            <w:r>
              <w:t xml:space="preserve">***</w:t>
            </w:r>
          </w:p>
        </w:tc>
      </w:tr>
      <w:tr>
        <w:tc>
          <w:p>
            <w:pPr>
              <w:pStyle w:val="Compact"/>
              <w:jc w:val="left"/>
            </w:pPr>
            <w:r>
              <w:t xml:space="preserve">round23</w:t>
            </w:r>
          </w:p>
        </w:tc>
        <w:tc>
          <w:p>
            <w:pPr>
              <w:pStyle w:val="Compact"/>
              <w:jc w:val="right"/>
            </w:pPr>
            <w:r>
              <w:t xml:space="preserve">0.341</w:t>
            </w:r>
          </w:p>
        </w:tc>
        <w:tc>
          <w:p>
            <w:pPr>
              <w:pStyle w:val="Compact"/>
              <w:jc w:val="left"/>
            </w:pPr>
            <w:r>
              <w:t xml:space="preserve">***</w:t>
            </w:r>
          </w:p>
        </w:tc>
        <w:tc>
          <w:p>
            <w:pPr>
              <w:pStyle w:val="Compact"/>
              <w:jc w:val="right"/>
            </w:pPr>
            <w:r>
              <w:t xml:space="preserve">0.336</w:t>
            </w:r>
          </w:p>
        </w:tc>
        <w:tc>
          <w:p>
            <w:pPr>
              <w:pStyle w:val="Compact"/>
              <w:jc w:val="left"/>
            </w:pPr>
            <w:r>
              <w:t xml:space="preserve">**</w:t>
            </w:r>
          </w:p>
        </w:tc>
        <w:tc>
          <w:p>
            <w:pPr>
              <w:pStyle w:val="Compact"/>
              <w:jc w:val="right"/>
            </w:pPr>
            <w:r>
              <w:t xml:space="preserve">0.354</w:t>
            </w:r>
          </w:p>
        </w:tc>
        <w:tc>
          <w:p>
            <w:pPr>
              <w:pStyle w:val="Compact"/>
              <w:jc w:val="left"/>
            </w:pPr>
            <w:r>
              <w:t xml:space="preserve">***</w:t>
            </w:r>
          </w:p>
        </w:tc>
      </w:tr>
      <w:tr>
        <w:tc>
          <w:p>
            <w:pPr>
              <w:pStyle w:val="Compact"/>
              <w:jc w:val="left"/>
            </w:pPr>
            <w:r>
              <w:t xml:space="preserve">round24</w:t>
            </w:r>
          </w:p>
        </w:tc>
        <w:tc>
          <w:p>
            <w:pPr>
              <w:pStyle w:val="Compact"/>
              <w:jc w:val="right"/>
            </w:pPr>
            <w:r>
              <w:t xml:space="preserve">0.406</w:t>
            </w:r>
          </w:p>
        </w:tc>
        <w:tc>
          <w:p>
            <w:pPr>
              <w:pStyle w:val="Compact"/>
              <w:jc w:val="left"/>
            </w:pPr>
            <w:r>
              <w:t xml:space="preserve">***</w:t>
            </w:r>
          </w:p>
        </w:tc>
        <w:tc>
          <w:p>
            <w:pPr>
              <w:pStyle w:val="Compact"/>
              <w:jc w:val="right"/>
            </w:pPr>
            <w:r>
              <w:t xml:space="preserve">0.338</w:t>
            </w:r>
          </w:p>
        </w:tc>
        <w:tc>
          <w:p>
            <w:pPr>
              <w:pStyle w:val="Compact"/>
              <w:jc w:val="left"/>
            </w:pPr>
            <w:r>
              <w:t xml:space="preserve">*</w:t>
            </w:r>
          </w:p>
        </w:tc>
        <w:tc>
          <w:p>
            <w:pPr>
              <w:pStyle w:val="Compact"/>
              <w:jc w:val="right"/>
            </w:pPr>
            <w:r>
              <w:t xml:space="preserve">0.407</w:t>
            </w:r>
          </w:p>
        </w:tc>
        <w:tc>
          <w:p>
            <w:pPr>
              <w:pStyle w:val="Compact"/>
              <w:jc w:val="left"/>
            </w:pPr>
            <w:r>
              <w:t xml:space="preserve">***</w:t>
            </w:r>
          </w:p>
        </w:tc>
      </w:tr>
    </w:tbl>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0faf99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Class, mobility, and earnings</dc:title>
  <dc:creator/>
  <dcterms:created xsi:type="dcterms:W3CDTF">2019-05-30T12:57:29Z</dcterms:created>
  <dcterms:modified xsi:type="dcterms:W3CDTF">2019-05-30T12:57:29Z</dcterms:modified>
</cp:coreProperties>
</file>