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Architecture Decision Record (ADR) – iNB Online Banking Application</w:t>
      </w:r>
    </w:p>
    <w:p>
      <w:pPr>
        <w:pStyle w:val="Heading2"/>
      </w:pPr>
      <w:r>
        <w:t>1. Decision Summary</w:t>
      </w:r>
    </w:p>
    <w:p>
      <w:r>
        <w:t>This ADR documents the decision to adopt a Domain‑Driven Modular Monolith built on a Layered (N‑Tier) structure with SOA interaction patterns, ACID guarantees, and selective event‑driven extensions.</w:t>
      </w:r>
    </w:p>
    <w:p>
      <w:pPr>
        <w:pStyle w:val="Heading2"/>
      </w:pPr>
      <w:r>
        <w:t>2. Status</w:t>
      </w:r>
    </w:p>
    <w:p>
      <w:r>
        <w:t>Approved</w:t>
      </w:r>
    </w:p>
    <w:p>
      <w:pPr>
        <w:pStyle w:val="Heading2"/>
      </w:pPr>
      <w:r>
        <w:t>3. Context</w:t>
      </w:r>
    </w:p>
    <w:p>
      <w:r>
        <w:t>iNB requires strong consistency, auditability, on‑prem deployment, and regulatory compliance.</w:t>
      </w:r>
    </w:p>
    <w:p>
      <w:pPr>
        <w:pStyle w:val="Heading2"/>
      </w:pPr>
      <w:r>
        <w:t>4. Decision Drivers</w:t>
      </w:r>
    </w:p>
    <w:p>
      <w:r>
        <w:t>Regulatory compliance</w:t>
      </w:r>
    </w:p>
    <w:p>
      <w:r>
        <w:t>ACID correctness</w:t>
      </w:r>
    </w:p>
    <w:p>
      <w:r>
        <w:t>Auditability</w:t>
      </w:r>
    </w:p>
    <w:p>
      <w:r>
        <w:t>Operational stability</w:t>
      </w:r>
    </w:p>
    <w:p>
      <w:r>
        <w:t>Domain clarity</w:t>
      </w:r>
    </w:p>
    <w:p>
      <w:r>
        <w:t>Avoid distributed complexity</w:t>
      </w:r>
    </w:p>
    <w:p>
      <w:pPr>
        <w:pStyle w:val="Heading2"/>
      </w:pPr>
      <w:r>
        <w:t>5. Considered Options</w:t>
      </w:r>
    </w:p>
    <w:p>
      <w:r>
        <w:t>Microservices</w:t>
      </w:r>
    </w:p>
    <w:p>
      <w:r>
        <w:t>Classic SOA</w:t>
      </w:r>
    </w:p>
    <w:p>
      <w:r>
        <w:t>N‑Tier Monolith</w:t>
      </w:r>
    </w:p>
    <w:p>
      <w:r>
        <w:t>Domain‑Driven Modular Monolith (Chosen)</w:t>
      </w:r>
    </w:p>
    <w:p>
      <w:r>
        <w:t>Event‑Driven / Serverless</w:t>
      </w:r>
    </w:p>
    <w:p>
      <w:pPr>
        <w:pStyle w:val="Heading2"/>
      </w:pPr>
      <w:r>
        <w:t>6. Decision Outcome</w:t>
      </w:r>
    </w:p>
    <w:p>
      <w:r>
        <w:t>Chosen architecture: Domain‑Driven Modular Monolith + Layered Architecture + SOA boundaries + ACID + selective events.</w:t>
      </w:r>
    </w:p>
    <w:p>
      <w:pPr>
        <w:pStyle w:val="Heading2"/>
      </w:pPr>
      <w:r>
        <w:t>7. Rationale</w:t>
      </w:r>
    </w:p>
    <w:p>
      <w:r>
        <w:t>Ensures correctness</w:t>
      </w:r>
    </w:p>
    <w:p>
      <w:r>
        <w:t>Simplifies audits</w:t>
      </w:r>
    </w:p>
    <w:p>
      <w:r>
        <w:t>Avoids microservice overhead</w:t>
      </w:r>
    </w:p>
    <w:p>
      <w:r>
        <w:t>Future extensible modules</w:t>
      </w:r>
    </w:p>
    <w:p>
      <w:pPr>
        <w:pStyle w:val="Heading2"/>
      </w:pPr>
      <w:r>
        <w:t>8. Pros &amp; Cons</w:t>
      </w:r>
    </w:p>
    <w:p>
      <w:r>
        <w:t>Pros: predictable, compliant, modular</w:t>
      </w:r>
    </w:p>
    <w:p>
      <w:r>
        <w:t>Cons: single deployable, requires discipline</w:t>
      </w:r>
    </w:p>
    <w:p>
      <w:pPr>
        <w:pStyle w:val="Heading2"/>
      </w:pPr>
      <w:r>
        <w:t>9. Consequences</w:t>
      </w:r>
    </w:p>
    <w:p>
      <w:r>
        <w:t>Positive: simpler ops, safer</w:t>
      </w:r>
    </w:p>
    <w:p>
      <w:r>
        <w:t>Negative: less granular scaling</w:t>
      </w:r>
    </w:p>
    <w:p>
      <w:pPr>
        <w:pStyle w:val="Heading2"/>
      </w:pPr>
      <w:r>
        <w:t>10. Alternatives</w:t>
      </w:r>
    </w:p>
    <w:p>
      <w:r>
        <w:t>Microservices rejected</w:t>
      </w:r>
    </w:p>
    <w:p>
      <w:r>
        <w:t>ESB rejected</w:t>
      </w:r>
    </w:p>
    <w:p>
      <w:r>
        <w:t>N‑Tier only rejected</w:t>
      </w:r>
    </w:p>
    <w:p>
      <w:r>
        <w:t>Events partial</w:t>
      </w:r>
    </w:p>
    <w:p>
      <w:pPr>
        <w:pStyle w:val="Heading2"/>
      </w:pPr>
      <w:r>
        <w:t>11. Compliance Considerations</w:t>
      </w:r>
    </w:p>
    <w:p>
      <w:r>
        <w:t>Supports RBI, SOX, Legal Hold, security controls</w:t>
      </w:r>
    </w:p>
    <w:p>
      <w:pPr>
        <w:pStyle w:val="Heading2"/>
      </w:pPr>
      <w:r>
        <w:t>12. Future Considerations</w:t>
      </w:r>
    </w:p>
    <w:p>
      <w:r>
        <w:t>Modules can later be extracted</w:t>
      </w:r>
    </w:p>
    <w:p>
      <w:r>
        <w:t>Event use can expand</w:t>
      </w:r>
    </w:p>
    <w:p>
      <w:pPr>
        <w:pStyle w:val="Heading2"/>
      </w:pPr>
      <w:r>
        <w:t>13. Final Recommendation</w:t>
      </w:r>
    </w:p>
    <w:p>
      <w:r>
        <w:t>Architecture aligns with all NFRs and regulatory constraints.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