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1F4E79"/>
          <w:sz w:val="58"/>
          <w:szCs w:val="58"/>
        </w:rPr>
        <w:t xml:space="preserve">SS360 Signal System</w:t>
      </w:r>
    </w:p>
    <w:p>
      <w:pPr>
        <w:spacing w:after="40"/>
        <w:jc w:val="center"/>
      </w:pPr>
      <w:r>
        <w:rPr>
          <w:color w:val="595959"/>
          <w:sz w:val="32"/>
          <w:szCs w:val="32"/>
        </w:rPr>
        <w:t xml:space="preserve">Reverse-Engineering Research Report</w:t>
      </w:r>
    </w:p>
    <w:p>
      <w:pPr>
        <w:spacing w:after="400"/>
        <w:jc w:val="center"/>
      </w:pPr>
      <w:r>
        <w:rPr>
          <w:i/>
          <w:iCs/>
          <w:color w:val="595959"/>
          <w:sz w:val="22"/>
          <w:szCs w:val="22"/>
        </w:rPr>
        <w:t xml:space="preserve">What the system is, how the signal works, what we reconstructed,</w:t>
      </w:r>
    </w:p>
    <w:p>
      <w:pPr>
        <w:spacing w:after="600"/>
        <w:jc w:val="center"/>
      </w:pPr>
      <w:r>
        <w:rPr>
          <w:i/>
          <w:iCs/>
          <w:color w:val="595959"/>
          <w:sz w:val="22"/>
          <w:szCs w:val="22"/>
        </w:rPr>
        <w:t xml:space="preserve">and why the state-generation core cannot be reproduced from the outside.</w:t>
      </w:r>
    </w:p>
    <w:p>
      <w:pPr>
        <w:spacing w:after="100"/>
        <w:jc w:val="center"/>
      </w:pPr>
      <w:r>
        <w:rPr>
          <w:sz w:val="20"/>
          <w:szCs w:val="20"/>
        </w:rPr>
        <w:t xml:space="preserve">Prepared for research &amp; future repurpose</w:t>
      </w:r>
    </w:p>
    <w:p>
      <w:pPr>
        <w:spacing w:after="100"/>
        <w:jc w:val="center"/>
      </w:pPr>
      <w:r>
        <w:rPr>
          <w:color w:val="595959"/>
          <w:sz w:val="20"/>
          <w:szCs w:val="20"/>
        </w:rPr>
        <w:t xml:space="preserve">Compiled July 2026</w:t>
      </w:r>
    </w:p>
    <w:p>
      <w:r>
        <w:br w:type="page"/>
      </w:r>
    </w:p>
    <w:p>
      <w:pPr>
        <w:pStyle w:val="Heading1"/>
        <w:spacing w:after="140" w:before="320"/>
      </w:pPr>
      <w:r>
        <w:rPr>
          <w:b/>
          <w:bCs/>
          <w:color w:val="1F4E79"/>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4E79"/>
        </w:rPr>
        <w:t xml:space="preserve">1. Executive summary</w:t>
      </w:r>
    </w:p>
    <w:p>
      <w:pPr>
        <w:spacing w:after="120" w:line="276"/>
      </w:pPr>
      <w:r>
        <w:t xml:space="preserve">SS360 (product family name VAJRA for futures, KSHANA for equities) is a paid trading-signal service. It plots a single smoothed signal line on the chart, colors it by a 7-level state, and prints buy/sell markers. This project set out to reverse-engineer that system from the outside — to understand exactly how the signal is built and, ideally, to reproduce it well enough to run independently.</w:t>
      </w:r>
    </w:p>
    <w:p>
      <w:pPr>
        <w:spacing w:after="120" w:line="276"/>
      </w:pPr>
      <w:r>
        <w:t xml:space="preserve">The outcome, stated plainly: </w:t>
      </w:r>
      <w:r>
        <w:rPr>
          <w:b/>
          <w:bCs/>
        </w:rPr>
        <w:t xml:space="preserve">we fully reconstructed the visible machinery of the system — the line, the reference lines, the signal rule, and the multi-timeframe framework — and confirmed the system has a genuine, data-verified edge. We did </w:t>
      </w:r>
      <w:r>
        <w:t xml:space="preserve">not</w:t>
      </w:r>
      <w:r>
        <w:rPr>
          <w:b/>
          <w:bCs/>
        </w:rPr>
        <w:t xml:space="preserve"> succeed in reproducing the core state-generation logic to the precision needed to replace the service, because that computation is performed on SS360's servers and the inputs it uses are never transmitted to the client.</w:t>
      </w:r>
    </w:p>
    <w:tbl>
      <w:tblPr>
        <w:tblW w:type="pct" w:w="100%"/>
        <w:tblBorders>
          <w:top w:val="single" w:color="1F4E79" w:sz="2"/>
          <w:left w:val="single" w:color="1F4E79" w:sz="12"/>
          <w:bottom w:val="single" w:color="1F4E79" w:sz="2"/>
          <w:right w:val="single" w:color="1F4E79" w:sz="2"/>
          <w:insideH w:val="none"/>
          <w:insideV w:val="none"/>
        </w:tblBorders>
      </w:tblPr>
      <w:tblGrid>
        <w:gridCol w:w="9360"/>
      </w:tblGrid>
      <w:tr>
        <w:tc>
          <w:tcPr>
            <w:tcW w:type="dxa" w:w="9360"/>
            <w:shd w:fill="F0F4F8" w:val="clear"/>
            <w:tcMar>
              <w:top w:type="dxa" w:w="120"/>
              <w:left w:type="dxa" w:w="180"/>
              <w:bottom w:type="dxa" w:w="120"/>
              <w:right w:type="dxa" w:w="180"/>
            </w:tcMar>
          </w:tcPr>
          <w:p>
            <w:pPr>
              <w:spacing w:after="60"/>
            </w:pPr>
            <w:r>
              <w:rPr>
                <w:b/>
                <w:bCs/>
                <w:color w:val="1F4E79"/>
              </w:rPr>
              <w:t xml:space="preserve">The one-line conclusion</w:t>
            </w:r>
          </w:p>
          <w:p>
            <w:pPr>
              <w:spacing w:after="50" w:line="264"/>
            </w:pPr>
            <w:r>
              <w:t xml:space="preserve">The line, the framework, and the edge are understood and reproducible. The </w:t>
            </w:r>
            <w:r>
              <w:rPr>
                <w:i/>
                <w:iCs/>
              </w:rPr>
              <w:t xml:space="preserve">state value</w:t>
            </w:r>
            <w:r>
              <w:t xml:space="preserve"> — the proprietary core — is computed server-side and cannot be recovered from the public data feed. It is a hard information boundary, not a modeling failure.</w:t>
            </w:r>
          </w:p>
        </w:tc>
      </w:tr>
    </w:tbl>
    <w:p>
      <w:pPr>
        <w:pStyle w:val="Heading1"/>
        <w:spacing w:after="140" w:before="320"/>
      </w:pPr>
      <w:r>
        <w:rPr>
          <w:b/>
          <w:bCs/>
          <w:color w:val="1F4E79"/>
        </w:rPr>
        <w:t xml:space="preserve">2. What SS360 is — the system at a glance</w:t>
      </w:r>
    </w:p>
    <w:p>
      <w:pPr>
        <w:spacing w:after="120" w:line="276"/>
      </w:pPr>
      <w:r>
        <w:t xml:space="preserve">SS360 presents the market through three nested timeframes it calls </w:t>
      </w:r>
      <w:r>
        <w:rPr>
          <w:b/>
          <w:bCs/>
        </w:rPr>
        <w:t xml:space="preserve">TWR — Tide, Wave, Ripl</w:t>
      </w:r>
      <w:r>
        <w:t xml:space="preserve">. Each is the same calculation applied to a different timeframe: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660"/>
        <w:gridCol w:w="2100"/>
        <w:gridCol w:w="2100"/>
      </w:tblGrid>
      <w:tr>
        <w:trPr>
          <w:tblHeader/>
        </w:trPr>
        <w:tc>
          <w:tcPr>
            <w:tcW w:type="dxa" w:w="1500"/>
            <w:shd w:fill="1F4E79" w:val="clear"/>
            <w:tcMar>
              <w:top w:type="dxa" w:w="60"/>
              <w:left w:type="dxa" w:w="90"/>
              <w:bottom w:type="dxa" w:w="60"/>
              <w:right w:type="dxa" w:w="90"/>
            </w:tcMar>
          </w:tcPr>
          <w:p>
            <w:r>
              <w:rPr>
                <w:b/>
                <w:bCs/>
                <w:color w:val="FFFFFF"/>
                <w:sz w:val="19"/>
                <w:szCs w:val="19"/>
              </w:rPr>
              <w:t xml:space="preserve">Layer</w:t>
            </w:r>
          </w:p>
        </w:tc>
        <w:tc>
          <w:tcPr>
            <w:tcW w:type="dxa" w:w="3660"/>
            <w:shd w:fill="1F4E79" w:val="clear"/>
            <w:tcMar>
              <w:top w:type="dxa" w:w="60"/>
              <w:left w:type="dxa" w:w="90"/>
              <w:bottom w:type="dxa" w:w="60"/>
              <w:right w:type="dxa" w:w="90"/>
            </w:tcMar>
          </w:tcPr>
          <w:p>
            <w:r>
              <w:rPr>
                <w:b/>
                <w:bCs/>
                <w:color w:val="FFFFFF"/>
                <w:sz w:val="19"/>
                <w:szCs w:val="19"/>
              </w:rPr>
              <w:t xml:space="preserve">Meaning</w:t>
            </w:r>
          </w:p>
        </w:tc>
        <w:tc>
          <w:tcPr>
            <w:tcW w:type="dxa" w:w="2100"/>
            <w:shd w:fill="1F4E79" w:val="clear"/>
            <w:tcMar>
              <w:top w:type="dxa" w:w="60"/>
              <w:left w:type="dxa" w:w="90"/>
              <w:bottom w:type="dxa" w:w="60"/>
              <w:right w:type="dxa" w:w="90"/>
            </w:tcMar>
          </w:tcPr>
          <w:p>
            <w:r>
              <w:rPr>
                <w:b/>
                <w:bCs/>
                <w:color w:val="FFFFFF"/>
                <w:sz w:val="19"/>
                <w:szCs w:val="19"/>
              </w:rPr>
              <w:t xml:space="preserve">Futures (VAJRA)</w:t>
            </w:r>
          </w:p>
        </w:tc>
        <w:tc>
          <w:tcPr>
            <w:tcW w:type="dxa" w:w="2100"/>
            <w:shd w:fill="1F4E79" w:val="clear"/>
            <w:tcMar>
              <w:top w:type="dxa" w:w="60"/>
              <w:left w:type="dxa" w:w="90"/>
              <w:bottom w:type="dxa" w:w="60"/>
              <w:right w:type="dxa" w:w="90"/>
            </w:tcMar>
          </w:tcPr>
          <w:p>
            <w:r>
              <w:rPr>
                <w:b/>
                <w:bCs/>
                <w:color w:val="FFFFFF"/>
                <w:sz w:val="19"/>
                <w:szCs w:val="19"/>
              </w:rPr>
              <w:t xml:space="preserve">Equities (KSHANA)</w:t>
            </w:r>
          </w:p>
        </w:tc>
      </w:tr>
      <w:tr>
        <w:tc>
          <w:tcPr>
            <w:tcW w:type="dxa" w:w="1500"/>
            <w:shd w:fill="F5F7FA" w:val="clear"/>
            <w:tcMar>
              <w:top w:type="dxa" w:w="50"/>
              <w:left w:type="dxa" w:w="90"/>
              <w:bottom w:type="dxa" w:w="50"/>
              <w:right w:type="dxa" w:w="90"/>
            </w:tcMar>
          </w:tcPr>
          <w:p>
            <w:r>
              <w:rPr>
                <w:sz w:val="19"/>
                <w:szCs w:val="19"/>
              </w:rPr>
              <w:t xml:space="preserve">Ripl</w:t>
            </w:r>
          </w:p>
        </w:tc>
        <w:tc>
          <w:tcPr>
            <w:tcW w:type="dxa" w:w="3660"/>
            <w:shd w:fill="F5F7FA" w:val="clear"/>
            <w:tcMar>
              <w:top w:type="dxa" w:w="50"/>
              <w:left w:type="dxa" w:w="90"/>
              <w:bottom w:type="dxa" w:w="50"/>
              <w:right w:type="dxa" w:w="90"/>
            </w:tcMar>
          </w:tcPr>
          <w:p>
            <w:r>
              <w:rPr>
                <w:sz w:val="19"/>
                <w:szCs w:val="19"/>
              </w:rPr>
              <w:t xml:space="preserve">Close-in / impulse — the entry timeframe</w:t>
            </w:r>
          </w:p>
        </w:tc>
        <w:tc>
          <w:tcPr>
            <w:tcW w:type="dxa" w:w="2100"/>
            <w:shd w:fill="F5F7FA" w:val="clear"/>
            <w:tcMar>
              <w:top w:type="dxa" w:w="50"/>
              <w:left w:type="dxa" w:w="90"/>
              <w:bottom w:type="dxa" w:w="50"/>
              <w:right w:type="dxa" w:w="90"/>
            </w:tcMar>
          </w:tcPr>
          <w:p>
            <w:r>
              <w:rPr>
                <w:sz w:val="19"/>
                <w:szCs w:val="19"/>
              </w:rPr>
              <w:t xml:space="preserve">5-minute</w:t>
            </w:r>
          </w:p>
        </w:tc>
        <w:tc>
          <w:tcPr>
            <w:tcW w:type="dxa" w:w="2100"/>
            <w:shd w:fill="F5F7FA" w:val="clear"/>
            <w:tcMar>
              <w:top w:type="dxa" w:w="50"/>
              <w:left w:type="dxa" w:w="90"/>
              <w:bottom w:type="dxa" w:w="50"/>
              <w:right w:type="dxa" w:w="90"/>
            </w:tcMar>
          </w:tcPr>
          <w:p>
            <w:r>
              <w:rPr>
                <w:sz w:val="19"/>
                <w:szCs w:val="19"/>
              </w:rPr>
              <w:t xml:space="preserve">4-hour</w:t>
            </w:r>
          </w:p>
        </w:tc>
      </w:tr>
      <w:tr>
        <w:tc>
          <w:tcPr>
            <w:tcW w:type="dxa" w:w="1500"/>
            <w:shd w:fill="FFFFFF" w:val="clear"/>
            <w:tcMar>
              <w:top w:type="dxa" w:w="50"/>
              <w:left w:type="dxa" w:w="90"/>
              <w:bottom w:type="dxa" w:w="50"/>
              <w:right w:type="dxa" w:w="90"/>
            </w:tcMar>
          </w:tcPr>
          <w:p>
            <w:r>
              <w:rPr>
                <w:sz w:val="19"/>
                <w:szCs w:val="19"/>
              </w:rPr>
              <w:t xml:space="preserve">Wave</w:t>
            </w:r>
          </w:p>
        </w:tc>
        <w:tc>
          <w:tcPr>
            <w:tcW w:type="dxa" w:w="3660"/>
            <w:shd w:fill="FFFFFF" w:val="clear"/>
            <w:tcMar>
              <w:top w:type="dxa" w:w="50"/>
              <w:left w:type="dxa" w:w="90"/>
              <w:bottom w:type="dxa" w:w="50"/>
              <w:right w:type="dxa" w:w="90"/>
            </w:tcMar>
          </w:tcPr>
          <w:p>
            <w:r>
              <w:rPr>
                <w:sz w:val="19"/>
                <w:szCs w:val="19"/>
              </w:rPr>
              <w:t xml:space="preserve">Medium swing — the intermediate trend</w:t>
            </w:r>
          </w:p>
        </w:tc>
        <w:tc>
          <w:tcPr>
            <w:tcW w:type="dxa" w:w="2100"/>
            <w:shd w:fill="FFFFFF" w:val="clear"/>
            <w:tcMar>
              <w:top w:type="dxa" w:w="50"/>
              <w:left w:type="dxa" w:w="90"/>
              <w:bottom w:type="dxa" w:w="50"/>
              <w:right w:type="dxa" w:w="90"/>
            </w:tcMar>
          </w:tcPr>
          <w:p>
            <w:r>
              <w:rPr>
                <w:sz w:val="19"/>
                <w:szCs w:val="19"/>
              </w:rPr>
              <w:t xml:space="preserve">15-minute</w:t>
            </w:r>
          </w:p>
        </w:tc>
        <w:tc>
          <w:tcPr>
            <w:tcW w:type="dxa" w:w="2100"/>
            <w:shd w:fill="FFFFFF" w:val="clear"/>
            <w:tcMar>
              <w:top w:type="dxa" w:w="50"/>
              <w:left w:type="dxa" w:w="90"/>
              <w:bottom w:type="dxa" w:w="50"/>
              <w:right w:type="dxa" w:w="90"/>
            </w:tcMar>
          </w:tcPr>
          <w:p>
            <w:r>
              <w:rPr>
                <w:sz w:val="19"/>
                <w:szCs w:val="19"/>
              </w:rPr>
              <w:t xml:space="preserve">daily</w:t>
            </w:r>
          </w:p>
        </w:tc>
      </w:tr>
      <w:tr>
        <w:tc>
          <w:tcPr>
            <w:tcW w:type="dxa" w:w="1500"/>
            <w:shd w:fill="F5F7FA" w:val="clear"/>
            <w:tcMar>
              <w:top w:type="dxa" w:w="50"/>
              <w:left w:type="dxa" w:w="90"/>
              <w:bottom w:type="dxa" w:w="50"/>
              <w:right w:type="dxa" w:w="90"/>
            </w:tcMar>
          </w:tcPr>
          <w:p>
            <w:r>
              <w:rPr>
                <w:sz w:val="19"/>
                <w:szCs w:val="19"/>
              </w:rPr>
              <w:t xml:space="preserve">Tide</w:t>
            </w:r>
          </w:p>
        </w:tc>
        <w:tc>
          <w:tcPr>
            <w:tcW w:type="dxa" w:w="3660"/>
            <w:shd w:fill="F5F7FA" w:val="clear"/>
            <w:tcMar>
              <w:top w:type="dxa" w:w="50"/>
              <w:left w:type="dxa" w:w="90"/>
              <w:bottom w:type="dxa" w:w="50"/>
              <w:right w:type="dxa" w:w="90"/>
            </w:tcMar>
          </w:tcPr>
          <w:p>
            <w:r>
              <w:rPr>
                <w:sz w:val="19"/>
                <w:szCs w:val="19"/>
              </w:rPr>
              <w:t xml:space="preserve">The big picture / regime</w:t>
            </w:r>
          </w:p>
        </w:tc>
        <w:tc>
          <w:tcPr>
            <w:tcW w:type="dxa" w:w="2100"/>
            <w:shd w:fill="F5F7FA" w:val="clear"/>
            <w:tcMar>
              <w:top w:type="dxa" w:w="50"/>
              <w:left w:type="dxa" w:w="90"/>
              <w:bottom w:type="dxa" w:w="50"/>
              <w:right w:type="dxa" w:w="90"/>
            </w:tcMar>
          </w:tcPr>
          <w:p>
            <w:r>
              <w:rPr>
                <w:sz w:val="19"/>
                <w:szCs w:val="19"/>
              </w:rPr>
              <w:t xml:space="preserve">1-hour</w:t>
            </w:r>
          </w:p>
        </w:tc>
        <w:tc>
          <w:tcPr>
            <w:tcW w:type="dxa" w:w="2100"/>
            <w:shd w:fill="F5F7FA" w:val="clear"/>
            <w:tcMar>
              <w:top w:type="dxa" w:w="50"/>
              <w:left w:type="dxa" w:w="90"/>
              <w:bottom w:type="dxa" w:w="50"/>
              <w:right w:type="dxa" w:w="90"/>
            </w:tcMar>
          </w:tcPr>
          <w:p>
            <w:r>
              <w:rPr>
                <w:sz w:val="19"/>
                <w:szCs w:val="19"/>
              </w:rPr>
              <w:t xml:space="preserve">weekly</w:t>
            </w:r>
          </w:p>
        </w:tc>
      </w:tr>
    </w:tbl>
    <w:p>
      <w:pPr>
        <w:spacing w:after="120" w:line="276"/>
      </w:pPr>
      <w:r>
        <w:t xml:space="preserve">On each timeframe SS360 shows: a </w:t>
      </w:r>
      <w:r>
        <w:rPr>
          <w:b/>
          <w:bCs/>
        </w:rPr>
        <w:t xml:space="preserve">signal line</w:t>
      </w:r>
      <w:r>
        <w:t xml:space="preserve"> (colored by state), two </w:t>
      </w:r>
      <w:r>
        <w:rPr>
          <w:b/>
          <w:bCs/>
        </w:rPr>
        <w:t xml:space="preserve">reference lines</w:t>
      </w:r>
      <w:r>
        <w:t xml:space="preserve"> (a faster and a slower moving average), an </w:t>
      </w:r>
      <w:r>
        <w:rPr>
          <w:b/>
          <w:bCs/>
        </w:rPr>
        <w:t xml:space="preserve">anchor line</w:t>
      </w:r>
      <w:r>
        <w:t xml:space="preserve"> (session VWAP), and </w:t>
      </w:r>
      <w:r>
        <w:rPr>
          <w:b/>
          <w:bCs/>
        </w:rPr>
        <w:t xml:space="preserve">buy/sell markers</w:t>
      </w:r>
      <w:r>
        <w:t xml:space="preserve">. The line's color encodes a 7-level state from strongly bullish to strongly bearish. The whole discipline the vendor teaches is confluence: </w:t>
      </w:r>
      <w:r>
        <w:rPr>
          <w:i/>
          <w:iCs/>
        </w:rPr>
        <w:t xml:space="preserve">“one light is a hint, three lights is a setup”</w:t>
      </w:r>
      <w:r>
        <w:t xml:space="preserve"> — i.e. trade the Ripl only when Wave and Tide agree (“ride the Tide”), and treat a Ripl that fights the higher timeframes as a low-quality, quick scalp only.</w:t>
      </w:r>
    </w:p>
    <w:p>
      <w:pPr>
        <w:pStyle w:val="Heading1"/>
        <w:spacing w:after="140" w:before="320"/>
      </w:pPr>
      <w:r>
        <w:rPr>
          <w:b/>
          <w:bCs/>
          <w:color w:val="1F4E79"/>
        </w:rPr>
        <w:t xml:space="preserve">3. How the signal actually works</w:t>
      </w:r>
    </w:p>
    <w:p>
      <w:pPr>
        <w:spacing w:after="120" w:line="276"/>
      </w:pPr>
      <w:r>
        <w:t xml:space="preserve">Every component below was verified against SS360's own ground-truth data (their API returns the exact line values, state integers, and signal markers per bar). These are confirmed facts, not hypotheses.</w:t>
      </w:r>
    </w:p>
    <w:p>
      <w:pPr>
        <w:pStyle w:val="Heading2"/>
        <w:spacing w:after="100" w:before="240"/>
      </w:pPr>
      <w:r>
        <w:rPr>
          <w:color w:val="1F4E79"/>
        </w:rPr>
        <w:t xml:space="preserve">3.1 The signal line</w:t>
      </w:r>
    </w:p>
    <w:p>
      <w:pPr>
        <w:spacing w:after="120" w:line="276"/>
      </w:pPr>
      <w:r>
        <w:t xml:space="preserve">The signal line is a </w:t>
      </w:r>
      <w:r>
        <w:rPr>
          <w:b/>
          <w:bCs/>
        </w:rPr>
        <w:t xml:space="preserve">TEMA-13</w:t>
      </w:r>
      <w:r>
        <w:t xml:space="preserve"> (Triple Exponential Moving Average, length 13) computed on the bar close. This was verified against SS360's own transmitted line values at </w:t>
      </w:r>
      <w:r>
        <w:rPr>
          <w:b/>
          <w:bCs/>
        </w:rPr>
        <w:t xml:space="preserve">0.00 median error</w:t>
      </w:r>
      <w:r>
        <w:t xml:space="preserve"> (max ~0.02 after warm-up) across many hundreds of real bars, on every instrument tested. The line identity is settled.</w:t>
      </w:r>
    </w:p>
    <w:p>
      <w:pPr>
        <w:pStyle w:val="Heading2"/>
        <w:spacing w:after="100" w:before="240"/>
      </w:pPr>
      <w:r>
        <w:rPr>
          <w:color w:val="1F4E79"/>
        </w:rPr>
        <w:t xml:space="preserve">3.2 The reference lines</w:t>
      </w:r>
    </w:p>
    <w:p>
      <w:pPr>
        <w:pStyle w:val="ListParagraph"/>
        <w:numPr>
          <w:ilvl w:val="0"/>
          <w:numId w:val="2"/>
        </w:numPr>
        <w:spacing w:after="70" w:line="270"/>
      </w:pPr>
      <w:r>
        <w:rPr>
          <w:b/>
          <w:bCs/>
        </w:rPr>
        <w:t xml:space="preserve">LR (“Lakshman Rekha”) = EMA-25</w:t>
      </w:r>
      <w:r>
        <w:t xml:space="preserve"> — the faster reference line.</w:t>
      </w:r>
    </w:p>
    <w:p>
      <w:pPr>
        <w:pStyle w:val="ListParagraph"/>
        <w:numPr>
          <w:ilvl w:val="0"/>
          <w:numId w:val="2"/>
        </w:numPr>
        <w:spacing w:after="70" w:line="270"/>
      </w:pPr>
      <w:r>
        <w:rPr>
          <w:b/>
          <w:bCs/>
        </w:rPr>
        <w:t xml:space="preserve">V (“Vishvaksena”) = EMA-50</w:t>
      </w:r>
      <w:r>
        <w:t xml:space="preserve"> — the slower reference line.</w:t>
      </w:r>
    </w:p>
    <w:p>
      <w:pPr>
        <w:pStyle w:val="ListParagraph"/>
        <w:numPr>
          <w:ilvl w:val="0"/>
          <w:numId w:val="2"/>
        </w:numPr>
        <w:spacing w:after="70" w:line="270"/>
      </w:pPr>
      <w:r>
        <w:rPr>
          <w:b/>
          <w:bCs/>
        </w:rPr>
        <w:t xml:space="preserve">Anchor line = session VWAP</w:t>
      </w:r>
      <w:r>
        <w:t xml:space="preserve"> — resets each session; often null intraday in the feed.</w:t>
      </w:r>
    </w:p>
    <w:p>
      <w:pPr>
        <w:spacing w:after="120" w:line="276"/>
      </w:pPr>
      <w:r>
        <w:t xml:space="preserve">Confirmed against both the data and SS360's own field-guide documentation.</w:t>
      </w:r>
    </w:p>
    <w:p>
      <w:pPr>
        <w:pStyle w:val="Heading2"/>
        <w:spacing w:after="100" w:before="240"/>
      </w:pPr>
      <w:r>
        <w:rPr>
          <w:color w:val="1F4E79"/>
        </w:rPr>
        <w:t xml:space="preserve">3.3 The 7-level state (the color)</w:t>
      </w:r>
    </w:p>
    <w:p>
      <w:pPr>
        <w:spacing w:after="120" w:line="276"/>
      </w:pPr>
      <w:r>
        <w:t xml:space="preserve">The line's color, its rating, and its internal state integer are one and the same thing shown three ways. The mapping, taken directly from SS360's field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400"/>
        <w:gridCol w:w="1900"/>
        <w:gridCol w:w="2860"/>
      </w:tblGrid>
      <w:tr>
        <w:trPr>
          <w:tblHeader/>
        </w:trPr>
        <w:tc>
          <w:tcPr>
            <w:tcW w:type="dxa" w:w="1000"/>
            <w:shd w:fill="1F4E79" w:val="clear"/>
            <w:tcMar>
              <w:top w:type="dxa" w:w="60"/>
              <w:left w:type="dxa" w:w="90"/>
              <w:bottom w:type="dxa" w:w="60"/>
              <w:right w:type="dxa" w:w="90"/>
            </w:tcMar>
          </w:tcPr>
          <w:p>
            <w:r>
              <w:rPr>
                <w:b/>
                <w:bCs/>
                <w:color w:val="FFFFFF"/>
                <w:sz w:val="19"/>
                <w:szCs w:val="19"/>
              </w:rPr>
              <w:t xml:space="preserve">State</w:t>
            </w:r>
          </w:p>
        </w:tc>
        <w:tc>
          <w:tcPr>
            <w:tcW w:type="dxa" w:w="1200"/>
            <w:shd w:fill="1F4E79" w:val="clear"/>
            <w:tcMar>
              <w:top w:type="dxa" w:w="60"/>
              <w:left w:type="dxa" w:w="90"/>
              <w:bottom w:type="dxa" w:w="60"/>
              <w:right w:type="dxa" w:w="90"/>
            </w:tcMar>
          </w:tcPr>
          <w:p>
            <w:r>
              <w:rPr>
                <w:b/>
                <w:bCs/>
                <w:color w:val="FFFFFF"/>
                <w:sz w:val="19"/>
                <w:szCs w:val="19"/>
              </w:rPr>
              <w:t xml:space="preserve">Rating</w:t>
            </w:r>
          </w:p>
        </w:tc>
        <w:tc>
          <w:tcPr>
            <w:tcW w:type="dxa" w:w="2400"/>
            <w:shd w:fill="1F4E79" w:val="clear"/>
            <w:tcMar>
              <w:top w:type="dxa" w:w="60"/>
              <w:left w:type="dxa" w:w="90"/>
              <w:bottom w:type="dxa" w:w="60"/>
              <w:right w:type="dxa" w:w="90"/>
            </w:tcMar>
          </w:tcPr>
          <w:p>
            <w:r>
              <w:rPr>
                <w:b/>
                <w:bCs/>
                <w:color w:val="FFFFFF"/>
                <w:sz w:val="19"/>
                <w:szCs w:val="19"/>
              </w:rPr>
              <w:t xml:space="preserve">Name</w:t>
            </w:r>
          </w:p>
        </w:tc>
        <w:tc>
          <w:tcPr>
            <w:tcW w:type="dxa" w:w="1900"/>
            <w:shd w:fill="1F4E79" w:val="clear"/>
            <w:tcMar>
              <w:top w:type="dxa" w:w="60"/>
              <w:left w:type="dxa" w:w="90"/>
              <w:bottom w:type="dxa" w:w="60"/>
              <w:right w:type="dxa" w:w="90"/>
            </w:tcMar>
          </w:tcPr>
          <w:p>
            <w:r>
              <w:rPr>
                <w:b/>
                <w:bCs/>
                <w:color w:val="FFFFFF"/>
                <w:sz w:val="19"/>
                <w:szCs w:val="19"/>
              </w:rPr>
              <w:t xml:space="preserve">Color</w:t>
            </w:r>
          </w:p>
        </w:tc>
        <w:tc>
          <w:tcPr>
            <w:tcW w:type="dxa" w:w="2860"/>
            <w:shd w:fill="1F4E79" w:val="clear"/>
            <w:tcMar>
              <w:top w:type="dxa" w:w="60"/>
              <w:left w:type="dxa" w:w="90"/>
              <w:bottom w:type="dxa" w:w="60"/>
              <w:right w:type="dxa" w:w="90"/>
            </w:tcMar>
          </w:tcPr>
          <w:p>
            <w:r>
              <w:rPr>
                <w:b/>
                <w:bCs/>
                <w:color w:val="FFFFFF"/>
                <w:sz w:val="19"/>
                <w:szCs w:val="19"/>
              </w:rPr>
              <w:t xml:space="preserve">Meaning</w:t>
            </w:r>
          </w:p>
        </w:tc>
      </w:tr>
      <w:tr>
        <w:tc>
          <w:tcPr>
            <w:tcW w:type="dxa" w:w="1000"/>
            <w:shd w:fill="F5F7FA" w:val="clear"/>
            <w:tcMar>
              <w:top w:type="dxa" w:w="50"/>
              <w:left w:type="dxa" w:w="90"/>
              <w:bottom w:type="dxa" w:w="50"/>
              <w:right w:type="dxa" w:w="90"/>
            </w:tcMar>
          </w:tcPr>
          <w:p>
            <w:r>
              <w:rPr>
                <w:sz w:val="19"/>
                <w:szCs w:val="19"/>
              </w:rPr>
              <w:t xml:space="preserve">6</w:t>
            </w:r>
          </w:p>
        </w:tc>
        <w:tc>
          <w:tcPr>
            <w:tcW w:type="dxa" w:w="1200"/>
            <w:shd w:fill="F5F7FA" w:val="clear"/>
            <w:tcMar>
              <w:top w:type="dxa" w:w="50"/>
              <w:left w:type="dxa" w:w="90"/>
              <w:bottom w:type="dxa" w:w="50"/>
              <w:right w:type="dxa" w:w="90"/>
            </w:tcMar>
          </w:tcPr>
          <w:p>
            <w:r>
              <w:rPr>
                <w:sz w:val="19"/>
                <w:szCs w:val="19"/>
              </w:rPr>
              <w:t xml:space="preserve">+7</w:t>
            </w:r>
          </w:p>
        </w:tc>
        <w:tc>
          <w:tcPr>
            <w:tcW w:type="dxa" w:w="2400"/>
            <w:shd w:fill="F5F7FA" w:val="clear"/>
            <w:tcMar>
              <w:top w:type="dxa" w:w="50"/>
              <w:left w:type="dxa" w:w="90"/>
              <w:bottom w:type="dxa" w:w="50"/>
              <w:right w:type="dxa" w:w="90"/>
            </w:tcMar>
          </w:tcPr>
          <w:p>
            <w:r>
              <w:rPr>
                <w:sz w:val="19"/>
                <w:szCs w:val="19"/>
              </w:rPr>
              <w:t xml:space="preserve">Summit</w:t>
            </w:r>
          </w:p>
        </w:tc>
        <w:tc>
          <w:tcPr>
            <w:tcW w:type="dxa" w:w="1900"/>
            <w:shd w:fill="F5F7FA" w:val="clear"/>
            <w:tcMar>
              <w:top w:type="dxa" w:w="50"/>
              <w:left w:type="dxa" w:w="90"/>
              <w:bottom w:type="dxa" w:w="50"/>
              <w:right w:type="dxa" w:w="90"/>
            </w:tcMar>
          </w:tcPr>
          <w:p>
            <w:r>
              <w:rPr>
                <w:sz w:val="19"/>
                <w:szCs w:val="19"/>
              </w:rPr>
              <w:t xml:space="preserve">Blue</w:t>
            </w:r>
          </w:p>
        </w:tc>
        <w:tc>
          <w:tcPr>
            <w:tcW w:type="dxa" w:w="2860"/>
            <w:shd w:fill="F5F7FA" w:val="clear"/>
            <w:tcMar>
              <w:top w:type="dxa" w:w="50"/>
              <w:left w:type="dxa" w:w="90"/>
              <w:bottom w:type="dxa" w:w="50"/>
              <w:right w:type="dxa" w:w="90"/>
            </w:tcMar>
          </w:tcPr>
          <w:p>
            <w:r>
              <w:rPr>
                <w:sz w:val="19"/>
                <w:szCs w:val="19"/>
              </w:rPr>
              <w:t xml:space="preserve">Full bull stack — strongest long</w:t>
            </w:r>
          </w:p>
        </w:tc>
      </w:tr>
      <w:tr>
        <w:tc>
          <w:tcPr>
            <w:tcW w:type="dxa" w:w="1000"/>
            <w:shd w:fill="FFFFFF" w:val="clear"/>
            <w:tcMar>
              <w:top w:type="dxa" w:w="50"/>
              <w:left w:type="dxa" w:w="90"/>
              <w:bottom w:type="dxa" w:w="50"/>
              <w:right w:type="dxa" w:w="90"/>
            </w:tcMar>
          </w:tcPr>
          <w:p>
            <w:r>
              <w:rPr>
                <w:sz w:val="19"/>
                <w:szCs w:val="19"/>
              </w:rPr>
              <w:t xml:space="preserve">5</w:t>
            </w:r>
          </w:p>
        </w:tc>
        <w:tc>
          <w:tcPr>
            <w:tcW w:type="dxa" w:w="1200"/>
            <w:shd w:fill="FFFFFF" w:val="clear"/>
            <w:tcMar>
              <w:top w:type="dxa" w:w="50"/>
              <w:left w:type="dxa" w:w="90"/>
              <w:bottom w:type="dxa" w:w="50"/>
              <w:right w:type="dxa" w:w="90"/>
            </w:tcMar>
          </w:tcPr>
          <w:p>
            <w:r>
              <w:rPr>
                <w:sz w:val="19"/>
                <w:szCs w:val="19"/>
              </w:rPr>
              <w:t xml:space="preserve">+5</w:t>
            </w:r>
          </w:p>
        </w:tc>
        <w:tc>
          <w:tcPr>
            <w:tcW w:type="dxa" w:w="2400"/>
            <w:shd w:fill="FFFFFF" w:val="clear"/>
            <w:tcMar>
              <w:top w:type="dxa" w:w="50"/>
              <w:left w:type="dxa" w:w="90"/>
              <w:bottom w:type="dxa" w:w="50"/>
              <w:right w:type="dxa" w:w="90"/>
            </w:tcMar>
          </w:tcPr>
          <w:p>
            <w:r>
              <w:rPr>
                <w:sz w:val="19"/>
                <w:szCs w:val="19"/>
              </w:rPr>
              <w:t xml:space="preserve">Base Camp</w:t>
            </w:r>
          </w:p>
        </w:tc>
        <w:tc>
          <w:tcPr>
            <w:tcW w:type="dxa" w:w="1900"/>
            <w:shd w:fill="FFFFFF" w:val="clear"/>
            <w:tcMar>
              <w:top w:type="dxa" w:w="50"/>
              <w:left w:type="dxa" w:w="90"/>
              <w:bottom w:type="dxa" w:w="50"/>
              <w:right w:type="dxa" w:w="90"/>
            </w:tcMar>
          </w:tcPr>
          <w:p>
            <w:r>
              <w:rPr>
                <w:sz w:val="19"/>
                <w:szCs w:val="19"/>
              </w:rPr>
              <w:t xml:space="preserve">Green</w:t>
            </w:r>
          </w:p>
        </w:tc>
        <w:tc>
          <w:tcPr>
            <w:tcW w:type="dxa" w:w="2860"/>
            <w:shd w:fill="FFFFFF" w:val="clear"/>
            <w:tcMar>
              <w:top w:type="dxa" w:w="50"/>
              <w:left w:type="dxa" w:w="90"/>
              <w:bottom w:type="dxa" w:w="50"/>
              <w:right w:type="dxa" w:w="90"/>
            </w:tcMar>
          </w:tcPr>
          <w:p>
            <w:r>
              <w:rPr>
                <w:sz w:val="19"/>
                <w:szCs w:val="19"/>
              </w:rPr>
              <w:t xml:space="preserve">Committed long</w:t>
            </w:r>
          </w:p>
        </w:tc>
      </w:tr>
      <w:tr>
        <w:tc>
          <w:tcPr>
            <w:tcW w:type="dxa" w:w="1000"/>
            <w:shd w:fill="F5F7FA" w:val="clear"/>
            <w:tcMar>
              <w:top w:type="dxa" w:w="50"/>
              <w:left w:type="dxa" w:w="90"/>
              <w:bottom w:type="dxa" w:w="50"/>
              <w:right w:type="dxa" w:w="90"/>
            </w:tcMar>
          </w:tcPr>
          <w:p>
            <w:r>
              <w:rPr>
                <w:sz w:val="19"/>
                <w:szCs w:val="19"/>
              </w:rPr>
              <w:t xml:space="preserve">4</w:t>
            </w:r>
          </w:p>
        </w:tc>
        <w:tc>
          <w:tcPr>
            <w:tcW w:type="dxa" w:w="1200"/>
            <w:shd w:fill="F5F7FA" w:val="clear"/>
            <w:tcMar>
              <w:top w:type="dxa" w:w="50"/>
              <w:left w:type="dxa" w:w="90"/>
              <w:bottom w:type="dxa" w:w="50"/>
              <w:right w:type="dxa" w:w="90"/>
            </w:tcMar>
          </w:tcPr>
          <w:p>
            <w:r>
              <w:rPr>
                <w:sz w:val="19"/>
                <w:szCs w:val="19"/>
              </w:rPr>
              <w:t xml:space="preserve">+3</w:t>
            </w:r>
          </w:p>
        </w:tc>
        <w:tc>
          <w:tcPr>
            <w:tcW w:type="dxa" w:w="2400"/>
            <w:shd w:fill="F5F7FA" w:val="clear"/>
            <w:tcMar>
              <w:top w:type="dxa" w:w="50"/>
              <w:left w:type="dxa" w:w="90"/>
              <w:bottom w:type="dxa" w:w="50"/>
              <w:right w:type="dxa" w:w="90"/>
            </w:tcMar>
          </w:tcPr>
          <w:p>
            <w:r>
              <w:rPr>
                <w:sz w:val="19"/>
                <w:szCs w:val="19"/>
              </w:rPr>
              <w:t xml:space="preserve">Scout</w:t>
            </w:r>
          </w:p>
        </w:tc>
        <w:tc>
          <w:tcPr>
            <w:tcW w:type="dxa" w:w="1900"/>
            <w:shd w:fill="F5F7FA" w:val="clear"/>
            <w:tcMar>
              <w:top w:type="dxa" w:w="50"/>
              <w:left w:type="dxa" w:w="90"/>
              <w:bottom w:type="dxa" w:w="50"/>
              <w:right w:type="dxa" w:w="90"/>
            </w:tcMar>
          </w:tcPr>
          <w:p>
            <w:r>
              <w:rPr>
                <w:sz w:val="19"/>
                <w:szCs w:val="19"/>
              </w:rPr>
              <w:t xml:space="preserve">Lemon green</w:t>
            </w:r>
          </w:p>
        </w:tc>
        <w:tc>
          <w:tcPr>
            <w:tcW w:type="dxa" w:w="2860"/>
            <w:shd w:fill="F5F7FA" w:val="clear"/>
            <w:tcMar>
              <w:top w:type="dxa" w:w="50"/>
              <w:left w:type="dxa" w:w="90"/>
              <w:bottom w:type="dxa" w:w="50"/>
              <w:right w:type="dxa" w:w="90"/>
            </w:tcMar>
          </w:tcPr>
          <w:p>
            <w:r>
              <w:rPr>
                <w:sz w:val="19"/>
                <w:szCs w:val="19"/>
              </w:rPr>
              <w:t xml:space="preserve">Early long probe</w:t>
            </w:r>
          </w:p>
        </w:tc>
      </w:tr>
      <w:tr>
        <w:tc>
          <w:tcPr>
            <w:tcW w:type="dxa" w:w="1000"/>
            <w:shd w:fill="FFFFFF" w:val="clear"/>
            <w:tcMar>
              <w:top w:type="dxa" w:w="50"/>
              <w:left w:type="dxa" w:w="90"/>
              <w:bottom w:type="dxa" w:w="50"/>
              <w:right w:type="dxa" w:w="90"/>
            </w:tcMar>
          </w:tcPr>
          <w:p>
            <w:r>
              <w:rPr>
                <w:sz w:val="19"/>
                <w:szCs w:val="19"/>
              </w:rPr>
              <w:t xml:space="preserve">0</w:t>
            </w:r>
          </w:p>
        </w:tc>
        <w:tc>
          <w:tcPr>
            <w:tcW w:type="dxa" w:w="1200"/>
            <w:shd w:fill="FFFFFF" w:val="clear"/>
            <w:tcMar>
              <w:top w:type="dxa" w:w="50"/>
              <w:left w:type="dxa" w:w="90"/>
              <w:bottom w:type="dxa" w:w="50"/>
              <w:right w:type="dxa" w:w="90"/>
            </w:tcMar>
          </w:tcPr>
          <w:p>
            <w:r>
              <w:rPr>
                <w:sz w:val="19"/>
                <w:szCs w:val="19"/>
              </w:rPr>
              <w:t xml:space="preserve">0</w:t>
            </w:r>
          </w:p>
        </w:tc>
        <w:tc>
          <w:tcPr>
            <w:tcW w:type="dxa" w:w="2400"/>
            <w:shd w:fill="FFFFFF" w:val="clear"/>
            <w:tcMar>
              <w:top w:type="dxa" w:w="50"/>
              <w:left w:type="dxa" w:w="90"/>
              <w:bottom w:type="dxa" w:w="50"/>
              <w:right w:type="dxa" w:w="90"/>
            </w:tcMar>
          </w:tcPr>
          <w:p>
            <w:r>
              <w:rPr>
                <w:sz w:val="19"/>
                <w:szCs w:val="19"/>
              </w:rPr>
              <w:t xml:space="preserve">Neutral</w:t>
            </w:r>
          </w:p>
        </w:tc>
        <w:tc>
          <w:tcPr>
            <w:tcW w:type="dxa" w:w="1900"/>
            <w:shd w:fill="FFFFFF" w:val="clear"/>
            <w:tcMar>
              <w:top w:type="dxa" w:w="50"/>
              <w:left w:type="dxa" w:w="90"/>
              <w:bottom w:type="dxa" w:w="50"/>
              <w:right w:type="dxa" w:w="90"/>
            </w:tcMar>
          </w:tcPr>
          <w:p>
            <w:r>
              <w:rPr>
                <w:sz w:val="19"/>
                <w:szCs w:val="19"/>
              </w:rPr>
              <w:t xml:space="preserve">Orange</w:t>
            </w:r>
          </w:p>
        </w:tc>
        <w:tc>
          <w:tcPr>
            <w:tcW w:type="dxa" w:w="2860"/>
            <w:shd w:fill="FFFFFF" w:val="clear"/>
            <w:tcMar>
              <w:top w:type="dxa" w:w="50"/>
              <w:left w:type="dxa" w:w="90"/>
              <w:bottom w:type="dxa" w:w="50"/>
              <w:right w:type="dxa" w:w="90"/>
            </w:tcMar>
          </w:tcPr>
          <w:p>
            <w:r>
              <w:rPr>
                <w:sz w:val="19"/>
                <w:szCs w:val="19"/>
              </w:rPr>
              <w:t xml:space="preserve">No commitment / momentum dead</w:t>
            </w:r>
          </w:p>
        </w:tc>
      </w:tr>
      <w:tr>
        <w:tc>
          <w:tcPr>
            <w:tcW w:type="dxa" w:w="1000"/>
            <w:shd w:fill="F5F7FA" w:val="clear"/>
            <w:tcMar>
              <w:top w:type="dxa" w:w="50"/>
              <w:left w:type="dxa" w:w="90"/>
              <w:bottom w:type="dxa" w:w="50"/>
              <w:right w:type="dxa" w:w="90"/>
            </w:tcMar>
          </w:tcPr>
          <w:p>
            <w:r>
              <w:rPr>
                <w:sz w:val="19"/>
                <w:szCs w:val="19"/>
              </w:rPr>
              <w:t xml:space="preserve">3</w:t>
            </w:r>
          </w:p>
        </w:tc>
        <w:tc>
          <w:tcPr>
            <w:tcW w:type="dxa" w:w="1200"/>
            <w:shd w:fill="F5F7FA" w:val="clear"/>
            <w:tcMar>
              <w:top w:type="dxa" w:w="50"/>
              <w:left w:type="dxa" w:w="90"/>
              <w:bottom w:type="dxa" w:w="50"/>
              <w:right w:type="dxa" w:w="90"/>
            </w:tcMar>
          </w:tcPr>
          <w:p>
            <w:r>
              <w:rPr>
                <w:sz w:val="19"/>
                <w:szCs w:val="19"/>
              </w:rPr>
              <w:t xml:space="preserve">−3</w:t>
            </w:r>
          </w:p>
        </w:tc>
        <w:tc>
          <w:tcPr>
            <w:tcW w:type="dxa" w:w="2400"/>
            <w:shd w:fill="F5F7FA" w:val="clear"/>
            <w:tcMar>
              <w:top w:type="dxa" w:w="50"/>
              <w:left w:type="dxa" w:w="90"/>
              <w:bottom w:type="dxa" w:w="50"/>
              <w:right w:type="dxa" w:w="90"/>
            </w:tcMar>
          </w:tcPr>
          <w:p>
            <w:r>
              <w:rPr>
                <w:sz w:val="19"/>
                <w:szCs w:val="19"/>
              </w:rPr>
              <w:t xml:space="preserve">Warning</w:t>
            </w:r>
          </w:p>
        </w:tc>
        <w:tc>
          <w:tcPr>
            <w:tcW w:type="dxa" w:w="1900"/>
            <w:shd w:fill="F5F7FA" w:val="clear"/>
            <w:tcMar>
              <w:top w:type="dxa" w:w="50"/>
              <w:left w:type="dxa" w:w="90"/>
              <w:bottom w:type="dxa" w:w="50"/>
              <w:right w:type="dxa" w:w="90"/>
            </w:tcMar>
          </w:tcPr>
          <w:p>
            <w:r>
              <w:rPr>
                <w:sz w:val="19"/>
                <w:szCs w:val="19"/>
              </w:rPr>
              <w:t xml:space="preserve">Pink</w:t>
            </w:r>
          </w:p>
        </w:tc>
        <w:tc>
          <w:tcPr>
            <w:tcW w:type="dxa" w:w="2860"/>
            <w:shd w:fill="F5F7FA" w:val="clear"/>
            <w:tcMar>
              <w:top w:type="dxa" w:w="50"/>
              <w:left w:type="dxa" w:w="90"/>
              <w:bottom w:type="dxa" w:w="50"/>
              <w:right w:type="dxa" w:w="90"/>
            </w:tcMar>
          </w:tcPr>
          <w:p>
            <w:r>
              <w:rPr>
                <w:sz w:val="19"/>
                <w:szCs w:val="19"/>
              </w:rPr>
              <w:t xml:space="preserve">Early short probe</w:t>
            </w:r>
          </w:p>
        </w:tc>
      </w:tr>
      <w:tr>
        <w:tc>
          <w:tcPr>
            <w:tcW w:type="dxa" w:w="1000"/>
            <w:shd w:fill="FFFFFF" w:val="clear"/>
            <w:tcMar>
              <w:top w:type="dxa" w:w="50"/>
              <w:left w:type="dxa" w:w="90"/>
              <w:bottom w:type="dxa" w:w="50"/>
              <w:right w:type="dxa" w:w="90"/>
            </w:tcMar>
          </w:tcPr>
          <w:p>
            <w:r>
              <w:rPr>
                <w:sz w:val="19"/>
                <w:szCs w:val="19"/>
              </w:rPr>
              <w:t xml:space="preserve">2</w:t>
            </w:r>
          </w:p>
        </w:tc>
        <w:tc>
          <w:tcPr>
            <w:tcW w:type="dxa" w:w="1200"/>
            <w:shd w:fill="FFFFFF" w:val="clear"/>
            <w:tcMar>
              <w:top w:type="dxa" w:w="50"/>
              <w:left w:type="dxa" w:w="90"/>
              <w:bottom w:type="dxa" w:w="50"/>
              <w:right w:type="dxa" w:w="90"/>
            </w:tcMar>
          </w:tcPr>
          <w:p>
            <w:r>
              <w:rPr>
                <w:sz w:val="19"/>
                <w:szCs w:val="19"/>
              </w:rPr>
              <w:t xml:space="preserve">−5</w:t>
            </w:r>
          </w:p>
        </w:tc>
        <w:tc>
          <w:tcPr>
            <w:tcW w:type="dxa" w:w="2400"/>
            <w:shd w:fill="FFFFFF" w:val="clear"/>
            <w:tcMar>
              <w:top w:type="dxa" w:w="50"/>
              <w:left w:type="dxa" w:w="90"/>
              <w:bottom w:type="dxa" w:w="50"/>
              <w:right w:type="dxa" w:w="90"/>
            </w:tcMar>
          </w:tcPr>
          <w:p>
            <w:r>
              <w:rPr>
                <w:sz w:val="19"/>
                <w:szCs w:val="19"/>
              </w:rPr>
              <w:t xml:space="preserve">Floor Breaks</w:t>
            </w:r>
          </w:p>
        </w:tc>
        <w:tc>
          <w:tcPr>
            <w:tcW w:type="dxa" w:w="1900"/>
            <w:shd w:fill="FFFFFF" w:val="clear"/>
            <w:tcMar>
              <w:top w:type="dxa" w:w="50"/>
              <w:left w:type="dxa" w:w="90"/>
              <w:bottom w:type="dxa" w:w="50"/>
              <w:right w:type="dxa" w:w="90"/>
            </w:tcMar>
          </w:tcPr>
          <w:p>
            <w:r>
              <w:rPr>
                <w:sz w:val="19"/>
                <w:szCs w:val="19"/>
              </w:rPr>
              <w:t xml:space="preserve">Magenta</w:t>
            </w:r>
          </w:p>
        </w:tc>
        <w:tc>
          <w:tcPr>
            <w:tcW w:type="dxa" w:w="2860"/>
            <w:shd w:fill="FFFFFF" w:val="clear"/>
            <w:tcMar>
              <w:top w:type="dxa" w:w="50"/>
              <w:left w:type="dxa" w:w="90"/>
              <w:bottom w:type="dxa" w:w="50"/>
              <w:right w:type="dxa" w:w="90"/>
            </w:tcMar>
          </w:tcPr>
          <w:p>
            <w:r>
              <w:rPr>
                <w:sz w:val="19"/>
                <w:szCs w:val="19"/>
              </w:rPr>
              <w:t xml:space="preserve">Committed short</w:t>
            </w:r>
          </w:p>
        </w:tc>
      </w:tr>
      <w:tr>
        <w:tc>
          <w:tcPr>
            <w:tcW w:type="dxa" w:w="1000"/>
            <w:shd w:fill="F5F7FA" w:val="clear"/>
            <w:tcMar>
              <w:top w:type="dxa" w:w="50"/>
              <w:left w:type="dxa" w:w="90"/>
              <w:bottom w:type="dxa" w:w="50"/>
              <w:right w:type="dxa" w:w="90"/>
            </w:tcMar>
          </w:tcPr>
          <w:p>
            <w:r>
              <w:rPr>
                <w:sz w:val="19"/>
                <w:szCs w:val="19"/>
              </w:rPr>
              <w:t xml:space="preserve">1</w:t>
            </w:r>
          </w:p>
        </w:tc>
        <w:tc>
          <w:tcPr>
            <w:tcW w:type="dxa" w:w="1200"/>
            <w:shd w:fill="F5F7FA" w:val="clear"/>
            <w:tcMar>
              <w:top w:type="dxa" w:w="50"/>
              <w:left w:type="dxa" w:w="90"/>
              <w:bottom w:type="dxa" w:w="50"/>
              <w:right w:type="dxa" w:w="90"/>
            </w:tcMar>
          </w:tcPr>
          <w:p>
            <w:r>
              <w:rPr>
                <w:sz w:val="19"/>
                <w:szCs w:val="19"/>
              </w:rPr>
              <w:t xml:space="preserve">−7</w:t>
            </w:r>
          </w:p>
        </w:tc>
        <w:tc>
          <w:tcPr>
            <w:tcW w:type="dxa" w:w="2400"/>
            <w:shd w:fill="F5F7FA" w:val="clear"/>
            <w:tcMar>
              <w:top w:type="dxa" w:w="50"/>
              <w:left w:type="dxa" w:w="90"/>
              <w:bottom w:type="dxa" w:w="50"/>
              <w:right w:type="dxa" w:w="90"/>
            </w:tcMar>
          </w:tcPr>
          <w:p>
            <w:r>
              <w:rPr>
                <w:sz w:val="19"/>
                <w:szCs w:val="19"/>
              </w:rPr>
              <w:t xml:space="preserve">Avalanche</w:t>
            </w:r>
          </w:p>
        </w:tc>
        <w:tc>
          <w:tcPr>
            <w:tcW w:type="dxa" w:w="1900"/>
            <w:shd w:fill="F5F7FA" w:val="clear"/>
            <w:tcMar>
              <w:top w:type="dxa" w:w="50"/>
              <w:left w:type="dxa" w:w="90"/>
              <w:bottom w:type="dxa" w:w="50"/>
              <w:right w:type="dxa" w:w="90"/>
            </w:tcMar>
          </w:tcPr>
          <w:p>
            <w:r>
              <w:rPr>
                <w:sz w:val="19"/>
                <w:szCs w:val="19"/>
              </w:rPr>
              <w:t xml:space="preserve">Red</w:t>
            </w:r>
          </w:p>
        </w:tc>
        <w:tc>
          <w:tcPr>
            <w:tcW w:type="dxa" w:w="2860"/>
            <w:shd w:fill="F5F7FA" w:val="clear"/>
            <w:tcMar>
              <w:top w:type="dxa" w:w="50"/>
              <w:left w:type="dxa" w:w="90"/>
              <w:bottom w:type="dxa" w:w="50"/>
              <w:right w:type="dxa" w:w="90"/>
            </w:tcMar>
          </w:tcPr>
          <w:p>
            <w:r>
              <w:rPr>
                <w:sz w:val="19"/>
                <w:szCs w:val="19"/>
              </w:rPr>
              <w:t xml:space="preserve">Full bear stack — strongest short</w:t>
            </w:r>
          </w:p>
        </w:tc>
      </w:tr>
    </w:tbl>
    <w:p>
      <w:pPr>
        <w:pStyle w:val="Heading2"/>
        <w:spacing w:after="100" w:before="240"/>
      </w:pPr>
      <w:r>
        <w:rPr>
          <w:color w:val="1F4E79"/>
        </w:rPr>
        <w:t xml:space="preserve">3.4 The signal rule</w:t>
      </w:r>
    </w:p>
    <w:p>
      <w:pPr>
        <w:spacing w:after="120" w:line="276"/>
      </w:pPr>
      <w:r>
        <w:t xml:space="preserve">Buy/sell markers fire on a </w:t>
      </w:r>
      <w:r>
        <w:rPr>
          <w:b/>
          <w:bCs/>
        </w:rPr>
        <w:t xml:space="preserve">state zone-crossing</w:t>
      </w:r>
      <w:r>
        <w:t xml:space="preserve">. A B/SC (buy) prints when the state crosses from a non-long zone into the long zone; an S/BC (sell) prints when it crosses into the short zone. This rule reproduces SS360's actual printed signals </w:t>
      </w:r>
      <w:r>
        <w:rPr>
          <w:b/>
          <w:bCs/>
        </w:rPr>
        <w:t xml:space="preserve">100%</w:t>
      </w:r>
      <w:r>
        <w:t xml:space="preserve"> of the time when fed their real state values — confirmed on multiple instruments (e.g. NQ 73/73, ES 76/76), and consistent with their own documentation (“NEUTRAL 0 → turns up → +5 → flip → B”).</w:t>
      </w:r>
    </w:p>
    <w:tbl>
      <w:tblPr>
        <w:tblW w:type="pct" w:w="100%"/>
        <w:tblBorders>
          <w:top w:val="single" w:color="1F4E79" w:sz="2"/>
          <w:left w:val="single" w:color="1F4E79" w:sz="12"/>
          <w:bottom w:val="single" w:color="1F4E79" w:sz="2"/>
          <w:right w:val="single" w:color="1F4E79" w:sz="2"/>
          <w:insideH w:val="none"/>
          <w:insideV w:val="none"/>
        </w:tblBorders>
      </w:tblPr>
      <w:tblGrid>
        <w:gridCol w:w="9360"/>
      </w:tblGrid>
      <w:tr>
        <w:tc>
          <w:tcPr>
            <w:tcW w:type="dxa" w:w="9360"/>
            <w:shd w:fill="F0F4F8" w:val="clear"/>
            <w:tcMar>
              <w:top w:type="dxa" w:w="120"/>
              <w:left w:type="dxa" w:w="180"/>
              <w:bottom w:type="dxa" w:w="120"/>
              <w:right w:type="dxa" w:w="180"/>
            </w:tcMar>
          </w:tcPr>
          <w:p>
            <w:pPr>
              <w:spacing w:after="60"/>
            </w:pPr>
            <w:r>
              <w:rPr>
                <w:b/>
                <w:bCs/>
                <w:color w:val="1F4E79"/>
              </w:rPr>
              <w:t xml:space="preserve">Key insight</w:t>
            </w:r>
          </w:p>
          <w:p>
            <w:pPr>
              <w:spacing w:after="50" w:line="264"/>
            </w:pPr>
            <w:r>
              <w:t xml:space="preserve">Signals are transitions, not levels. The system does not fire because the state </w:t>
            </w:r>
            <w:r>
              <w:rPr>
                <w:i/>
                <w:iCs/>
              </w:rPr>
              <w:t xml:space="preserve">is</w:t>
            </w:r>
            <w:r>
              <w:t xml:space="preserve"> +5; it fires the moment the state </w:t>
            </w:r>
            <w:r>
              <w:rPr>
                <w:i/>
                <w:iCs/>
              </w:rPr>
              <w:t xml:space="preserve">crosses into</w:t>
            </w:r>
            <w:r>
              <w:t xml:space="preserve"> the long/short zone. Get the state right and the signals follow exactly.</w:t>
            </w:r>
          </w:p>
        </w:tc>
      </w:tr>
    </w:tbl>
    <w:p>
      <w:pPr>
        <w:pStyle w:val="Heading2"/>
        <w:spacing w:after="100" w:before="240"/>
      </w:pPr>
      <w:r>
        <w:rPr>
          <w:color w:val="1F4E79"/>
        </w:rPr>
        <w:t xml:space="preserve">3.5 The state mechanism, as far as it is recoverable</w:t>
      </w:r>
    </w:p>
    <w:p>
      <w:pPr>
        <w:spacing w:after="120" w:line="276"/>
      </w:pPr>
      <w:r>
        <w:t xml:space="preserve">Working backward from SS360's real per-bar state values, the state is built from three parts:</w:t>
      </w:r>
    </w:p>
    <w:p>
      <w:pPr>
        <w:pStyle w:val="ListParagraph"/>
        <w:numPr>
          <w:ilvl w:val="0"/>
          <w:numId w:val="3"/>
        </w:numPr>
        <w:spacing w:after="70" w:line="270"/>
      </w:pPr>
      <w:r>
        <w:rPr>
          <w:b/>
          <w:bCs/>
        </w:rPr>
        <w:t xml:space="preserve">Direction</w:t>
      </w:r>
      <w:r>
        <w:t xml:space="preserve"> = the sign of the 1-bar change in the signal line (line rising → long states; falling → short states). This is clean and fully recoverable.</w:t>
      </w:r>
    </w:p>
    <w:p>
      <w:pPr>
        <w:pStyle w:val="ListParagraph"/>
        <w:numPr>
          <w:ilvl w:val="0"/>
          <w:numId w:val="3"/>
        </w:numPr>
        <w:spacing w:after="70" w:line="270"/>
      </w:pPr>
      <w:r>
        <w:rPr>
          <w:b/>
          <w:bCs/>
        </w:rPr>
        <w:t xml:space="preserve">Neutral vs committed</w:t>
      </w:r>
      <w:r>
        <w:t xml:space="preserve"> = a threshold on the 1-bar normalized line speed, ns = (line − line[1]) / ATR. Below the threshold the state is Neutral (orange). This single decision reproduces the neutral/committed split ~72% correctly on every instrument, threshold ~0.13, and is normalization-independent. This is the core of what SS360 calls </w:t>
      </w:r>
      <w:r>
        <w:rPr>
          <w:b/>
          <w:bCs/>
        </w:rPr>
        <w:t xml:space="preserve">AM (Adaptive Momentum)</w:t>
      </w:r>
      <w:r>
        <w:t xml:space="preserve">.</w:t>
      </w:r>
    </w:p>
    <w:p>
      <w:pPr>
        <w:pStyle w:val="ListParagraph"/>
        <w:numPr>
          <w:ilvl w:val="0"/>
          <w:numId w:val="3"/>
        </w:numPr>
        <w:spacing w:after="70" w:line="270"/>
      </w:pPr>
      <w:r>
        <w:rPr>
          <w:b/>
          <w:bCs/>
        </w:rPr>
        <w:t xml:space="preserve">Magnitude (±3 / ±5 / ±7)</w:t>
      </w:r>
      <w:r>
        <w:t xml:space="preserve"> = how far the move has progressed through the LR/V structure. Below LR = ±3 (Scout/Warning, a probe); crossed LR = ±5 (committed); full stack line–LR–V aligned = ±7 (Summit/Avalanche).</w:t>
      </w:r>
    </w:p>
    <w:p>
      <w:pPr>
        <w:pStyle w:val="Heading1"/>
        <w:spacing w:after="140" w:before="320"/>
      </w:pPr>
      <w:r>
        <w:rPr>
          <w:b/>
          <w:bCs/>
          <w:color w:val="1F4E79"/>
        </w:rPr>
        <w:t xml:space="preserve">4. Ride the Tide vs Fight the Tide — the validated edge</w:t>
      </w:r>
    </w:p>
    <w:p>
      <w:pPr>
        <w:spacing w:after="120" w:line="276"/>
      </w:pPr>
      <w:r>
        <w:t xml:space="preserve">SS360's central discipline is that a Ripl (5m) signal is only high-quality when it agrees with the higher timeframes. We tested this on their real signals across all 8 futures using an exit-independent measure (favorable vs adverse excursion in the 12 bars after each signal, in ATR units). The framework held on every instrument: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2560"/>
        <w:gridCol w:w="1500"/>
      </w:tblGrid>
      <w:tr>
        <w:trPr>
          <w:tblHeader/>
        </w:trPr>
        <w:tc>
          <w:tcPr>
            <w:tcW w:type="dxa" w:w="1900"/>
            <w:shd w:fill="1F4E79" w:val="clear"/>
            <w:tcMar>
              <w:top w:type="dxa" w:w="60"/>
              <w:left w:type="dxa" w:w="90"/>
              <w:bottom w:type="dxa" w:w="60"/>
              <w:right w:type="dxa" w:w="90"/>
            </w:tcMar>
          </w:tcPr>
          <w:p>
            <w:r>
              <w:rPr>
                <w:b/>
                <w:bCs/>
                <w:color w:val="FFFFFF"/>
                <w:sz w:val="19"/>
                <w:szCs w:val="19"/>
              </w:rPr>
              <w:t xml:space="preserve">Setup</w:t>
            </w:r>
          </w:p>
        </w:tc>
        <w:tc>
          <w:tcPr>
            <w:tcW w:type="dxa" w:w="3400"/>
            <w:shd w:fill="1F4E79" w:val="clear"/>
            <w:tcMar>
              <w:top w:type="dxa" w:w="60"/>
              <w:left w:type="dxa" w:w="90"/>
              <w:bottom w:type="dxa" w:w="60"/>
              <w:right w:type="dxa" w:w="90"/>
            </w:tcMar>
          </w:tcPr>
          <w:p>
            <w:r>
              <w:rPr>
                <w:b/>
                <w:bCs/>
                <w:color w:val="FFFFFF"/>
                <w:sz w:val="19"/>
                <w:szCs w:val="19"/>
              </w:rPr>
              <w:t xml:space="preserve">Definition</w:t>
            </w:r>
          </w:p>
        </w:tc>
        <w:tc>
          <w:tcPr>
            <w:tcW w:type="dxa" w:w="2560"/>
            <w:shd w:fill="1F4E79" w:val="clear"/>
            <w:tcMar>
              <w:top w:type="dxa" w:w="60"/>
              <w:left w:type="dxa" w:w="90"/>
              <w:bottom w:type="dxa" w:w="60"/>
              <w:right w:type="dxa" w:w="90"/>
            </w:tcMar>
          </w:tcPr>
          <w:p>
            <w:r>
              <w:rPr>
                <w:b/>
                <w:bCs/>
                <w:color w:val="FFFFFF"/>
                <w:sz w:val="19"/>
                <w:szCs w:val="19"/>
              </w:rPr>
              <w:t xml:space="preserve">Follow-through (fav/adv)</w:t>
            </w:r>
          </w:p>
        </w:tc>
        <w:tc>
          <w:tcPr>
            <w:tcW w:type="dxa" w:w="1500"/>
            <w:shd w:fill="1F4E79" w:val="clear"/>
            <w:tcMar>
              <w:top w:type="dxa" w:w="60"/>
              <w:left w:type="dxa" w:w="90"/>
              <w:bottom w:type="dxa" w:w="60"/>
              <w:right w:type="dxa" w:w="90"/>
            </w:tcMar>
          </w:tcPr>
          <w:p>
            <w:r>
              <w:rPr>
                <w:b/>
                <w:bCs/>
                <w:color w:val="FFFFFF"/>
                <w:sz w:val="19"/>
                <w:szCs w:val="19"/>
              </w:rPr>
              <w:t xml:space="preserve">Quality</w:t>
            </w:r>
          </w:p>
        </w:tc>
      </w:tr>
      <w:tr>
        <w:tc>
          <w:tcPr>
            <w:tcW w:type="dxa" w:w="1900"/>
            <w:shd w:fill="F5F7FA" w:val="clear"/>
            <w:tcMar>
              <w:top w:type="dxa" w:w="50"/>
              <w:left w:type="dxa" w:w="90"/>
              <w:bottom w:type="dxa" w:w="50"/>
              <w:right w:type="dxa" w:w="90"/>
            </w:tcMar>
          </w:tcPr>
          <w:p>
            <w:r>
              <w:rPr>
                <w:sz w:val="19"/>
                <w:szCs w:val="19"/>
              </w:rPr>
              <w:t xml:space="preserve">Ride the Tide</w:t>
            </w:r>
          </w:p>
        </w:tc>
        <w:tc>
          <w:tcPr>
            <w:tcW w:type="dxa" w:w="3400"/>
            <w:shd w:fill="F5F7FA" w:val="clear"/>
            <w:tcMar>
              <w:top w:type="dxa" w:w="50"/>
              <w:left w:type="dxa" w:w="90"/>
              <w:bottom w:type="dxa" w:w="50"/>
              <w:right w:type="dxa" w:w="90"/>
            </w:tcMar>
          </w:tcPr>
          <w:p>
            <w:r>
              <w:rPr>
                <w:sz w:val="19"/>
                <w:szCs w:val="19"/>
              </w:rPr>
              <w:t xml:space="preserve">5m signal agrees with the higher TF</w:t>
            </w:r>
          </w:p>
        </w:tc>
        <w:tc>
          <w:tcPr>
            <w:tcW w:type="dxa" w:w="2560"/>
            <w:shd w:fill="F5F7FA" w:val="clear"/>
            <w:tcMar>
              <w:top w:type="dxa" w:w="50"/>
              <w:left w:type="dxa" w:w="90"/>
              <w:bottom w:type="dxa" w:w="50"/>
              <w:right w:type="dxa" w:w="90"/>
            </w:tcMar>
          </w:tcPr>
          <w:p>
            <w:r>
              <w:rPr>
                <w:sz w:val="19"/>
                <w:szCs w:val="19"/>
              </w:rPr>
              <w:t xml:space="preserve">&gt; 1 on all 8 (pooled ~1.9 long)</w:t>
            </w:r>
          </w:p>
        </w:tc>
        <w:tc>
          <w:tcPr>
            <w:tcW w:type="dxa" w:w="1500"/>
            <w:shd w:fill="F5F7FA" w:val="clear"/>
            <w:tcMar>
              <w:top w:type="dxa" w:w="50"/>
              <w:left w:type="dxa" w:w="90"/>
              <w:bottom w:type="dxa" w:w="50"/>
              <w:right w:type="dxa" w:w="90"/>
            </w:tcMar>
          </w:tcPr>
          <w:p>
            <w:r>
              <w:rPr>
                <w:sz w:val="19"/>
                <w:szCs w:val="19"/>
              </w:rPr>
              <w:t xml:space="preserve">High</w:t>
            </w:r>
          </w:p>
        </w:tc>
      </w:tr>
      <w:tr>
        <w:tc>
          <w:tcPr>
            <w:tcW w:type="dxa" w:w="1900"/>
            <w:shd w:fill="FFFFFF" w:val="clear"/>
            <w:tcMar>
              <w:top w:type="dxa" w:w="50"/>
              <w:left w:type="dxa" w:w="90"/>
              <w:bottom w:type="dxa" w:w="50"/>
              <w:right w:type="dxa" w:w="90"/>
            </w:tcMar>
          </w:tcPr>
          <w:p>
            <w:r>
              <w:rPr>
                <w:sz w:val="19"/>
                <w:szCs w:val="19"/>
              </w:rPr>
              <w:t xml:space="preserve">Fight the Tide</w:t>
            </w:r>
          </w:p>
        </w:tc>
        <w:tc>
          <w:tcPr>
            <w:tcW w:type="dxa" w:w="3400"/>
            <w:shd w:fill="FFFFFF" w:val="clear"/>
            <w:tcMar>
              <w:top w:type="dxa" w:w="50"/>
              <w:left w:type="dxa" w:w="90"/>
              <w:bottom w:type="dxa" w:w="50"/>
              <w:right w:type="dxa" w:w="90"/>
            </w:tcMar>
          </w:tcPr>
          <w:p>
            <w:r>
              <w:rPr>
                <w:sz w:val="19"/>
                <w:szCs w:val="19"/>
              </w:rPr>
              <w:t xml:space="preserve">5m signal opposes the higher TF</w:t>
            </w:r>
          </w:p>
        </w:tc>
        <w:tc>
          <w:tcPr>
            <w:tcW w:type="dxa" w:w="2560"/>
            <w:shd w:fill="FFFFFF" w:val="clear"/>
            <w:tcMar>
              <w:top w:type="dxa" w:w="50"/>
              <w:left w:type="dxa" w:w="90"/>
              <w:bottom w:type="dxa" w:w="50"/>
              <w:right w:type="dxa" w:w="90"/>
            </w:tcMar>
          </w:tcPr>
          <w:p>
            <w:r>
              <w:rPr>
                <w:sz w:val="19"/>
                <w:szCs w:val="19"/>
              </w:rPr>
              <w:t xml:space="preserve">&lt; 1 on all 8 (pooled ~0.3–0.6)</w:t>
            </w:r>
          </w:p>
        </w:tc>
        <w:tc>
          <w:tcPr>
            <w:tcW w:type="dxa" w:w="1500"/>
            <w:shd w:fill="FFFFFF" w:val="clear"/>
            <w:tcMar>
              <w:top w:type="dxa" w:w="50"/>
              <w:left w:type="dxa" w:w="90"/>
              <w:bottom w:type="dxa" w:w="50"/>
              <w:right w:type="dxa" w:w="90"/>
            </w:tcMar>
          </w:tcPr>
          <w:p>
            <w:r>
              <w:rPr>
                <w:sz w:val="19"/>
                <w:szCs w:val="19"/>
              </w:rPr>
              <w:t xml:space="preserve">Low / scalp only</w:t>
            </w:r>
          </w:p>
        </w:tc>
      </w:tr>
    </w:tbl>
    <w:p>
      <w:pPr>
        <w:spacing w:after="120" w:line="276"/>
      </w:pPr>
      <w:r>
        <w:t xml:space="preserve">This is the strongest reproducible result of the project. It is SS360's own documented framework, and it predicts their own data out-of-sample across indices, metals, and energy. Notably the split is </w:t>
      </w:r>
      <w:r>
        <w:rPr>
          <w:i/>
          <w:iCs/>
        </w:rPr>
        <w:t xml:space="preserve">not</w:t>
      </w:r>
      <w:r>
        <w:t xml:space="preserve"> by asset class: the two heavily-traded index futures (NQ, ES) show the weakest raw follow-through, while other indices (YM, RTY), metals, and energy show cleaner trends. A large share of sell-side signals are counter-trend (“fight”) cases, which is why short signals in particular need the higher-timeframe filter.</w:t>
      </w:r>
    </w:p>
    <w:p>
      <w:pPr>
        <w:pStyle w:val="Heading1"/>
        <w:spacing w:after="140" w:before="320"/>
      </w:pPr>
      <w:r>
        <w:rPr>
          <w:b/>
          <w:bCs/>
          <w:color w:val="1F4E79"/>
        </w:rPr>
        <w:t xml:space="preserve">5. Why the state value cannot be reproduced to 100%</w:t>
      </w:r>
    </w:p>
    <w:p>
      <w:pPr>
        <w:spacing w:after="120" w:line="276"/>
      </w:pPr>
      <w:r>
        <w:t xml:space="preserve">This is the central finding, and the reason full independence from the service is not achievable. It is worth stating carefully because it is a boundary of information, not of effort.</w:t>
      </w:r>
    </w:p>
    <w:p>
      <w:pPr>
        <w:pStyle w:val="Heading2"/>
        <w:spacing w:after="100" w:before="240"/>
      </w:pPr>
      <w:r>
        <w:rPr>
          <w:color w:val="1F4E79"/>
        </w:rPr>
        <w:t xml:space="preserve">5.1 What we proved is recoverable</w:t>
      </w:r>
    </w:p>
    <w:p>
      <w:pPr>
        <w:pStyle w:val="ListParagraph"/>
        <w:numPr>
          <w:ilvl w:val="0"/>
          <w:numId w:val="2"/>
        </w:numPr>
        <w:spacing w:after="70" w:line="270"/>
      </w:pPr>
      <w:r>
        <w:t xml:space="preserve">The signal line (TEMA-13) — matched at 0.00 error.</w:t>
      </w:r>
    </w:p>
    <w:p>
      <w:pPr>
        <w:pStyle w:val="ListParagraph"/>
        <w:numPr>
          <w:ilvl w:val="0"/>
          <w:numId w:val="2"/>
        </w:numPr>
        <w:spacing w:after="70" w:line="270"/>
      </w:pPr>
      <w:r>
        <w:t xml:space="preserve">The reference lines (EMA-25, EMA-50) and anchor (session VWAP).</w:t>
      </w:r>
    </w:p>
    <w:p>
      <w:pPr>
        <w:pStyle w:val="ListParagraph"/>
        <w:numPr>
          <w:ilvl w:val="0"/>
          <w:numId w:val="2"/>
        </w:numPr>
        <w:spacing w:after="70" w:line="270"/>
      </w:pPr>
      <w:r>
        <w:t xml:space="preserve">The signal rule (state zone-crossing) — 100% reproduction from their state.</w:t>
      </w:r>
    </w:p>
    <w:p>
      <w:pPr>
        <w:pStyle w:val="ListParagraph"/>
        <w:numPr>
          <w:ilvl w:val="0"/>
          <w:numId w:val="2"/>
        </w:numPr>
        <w:spacing w:after="70" w:line="270"/>
      </w:pPr>
      <w:r>
        <w:t xml:space="preserve">The direction and the neutral/committed decision — ~72% from 1-bar line speed.</w:t>
      </w:r>
    </w:p>
    <w:p>
      <w:pPr>
        <w:pStyle w:val="ListParagraph"/>
        <w:numPr>
          <w:ilvl w:val="0"/>
          <w:numId w:val="2"/>
        </w:numPr>
        <w:spacing w:after="70" w:line="270"/>
      </w:pPr>
      <w:r>
        <w:t xml:space="preserve">The magnitude ladder (±3/±5/±7) from LR/V structure.</w:t>
      </w:r>
    </w:p>
    <w:p>
      <w:pPr>
        <w:pStyle w:val="Heading2"/>
        <w:spacing w:after="100" w:before="240"/>
      </w:pPr>
      <w:r>
        <w:rPr>
          <w:color w:val="1F4E79"/>
        </w:rPr>
        <w:t xml:space="preserve">5.2 What is behind the wall</w:t>
      </w:r>
    </w:p>
    <w:p>
      <w:pPr>
        <w:spacing w:after="120" w:line="276"/>
      </w:pPr>
      <w:r>
        <w:t xml:space="preserve">The remaining ~28% of the neutral/committed decision — and therefore the exact per-bar state on the bars that matter most (the transitions that fire signals) — is driven by SS360's server-side </w:t>
      </w:r>
      <w:r>
        <w:rPr>
          <w:b/>
          <w:bCs/>
        </w:rPr>
        <w:t xml:space="preserve">Adaptive Momentum</w:t>
      </w:r>
      <w:r>
        <w:t xml:space="preserve">. The API transmits the </w:t>
      </w:r>
      <w:r>
        <w:rPr>
          <w:i/>
          <w:iCs/>
        </w:rPr>
        <w:t xml:space="preserve">output</w:t>
      </w:r>
      <w:r>
        <w:t xml:space="preserve"> (the finished state integer and line value) so the browser can draw the chart, but it does </w:t>
      </w:r>
      <w:r>
        <w:rPr>
          <w:i/>
          <w:iCs/>
        </w:rPr>
        <w:t xml:space="preserve">not</w:t>
      </w:r>
      <w:r>
        <w:t xml:space="preserve"> transmit the </w:t>
      </w:r>
      <w:r>
        <w:rPr>
          <w:i/>
          <w:iCs/>
        </w:rPr>
        <w:t xml:space="preserve">inputs</w:t>
      </w:r>
      <w:r>
        <w:t xml:space="preserve"> AM uses to compute that state. We confirmed this directly by inspecting the full API response at every nesting level: there is no momentum, strength, oscillator, speed, or adaptive field anywhere in the payload — only the finished state.</w:t>
      </w:r>
    </w:p>
    <w:p>
      <w:pPr>
        <w:pStyle w:val="Heading2"/>
        <w:spacing w:after="100" w:before="240"/>
      </w:pPr>
      <w:r>
        <w:rPr>
          <w:color w:val="1F4E79"/>
        </w:rPr>
        <w:t xml:space="preserve">5.3 How we know it isn't just an un-found formula</w:t>
      </w:r>
    </w:p>
    <w:p>
      <w:pPr>
        <w:spacing w:after="120" w:line="276"/>
      </w:pPr>
      <w:r>
        <w:t xml:space="preserve">We did not simply give up at 72%. We systematically tested every candidate input that </w:t>
      </w:r>
      <w:r>
        <w:rPr>
          <w:i/>
          <w:iCs/>
        </w:rPr>
        <w:t xml:space="preserve">is</w:t>
      </w:r>
      <w:r>
        <w:t xml:space="preserve"> recoverable from the public data, to see whether any of them explains the bars we miss. Each was tested against SS360's real state and rejected: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shd w:fill="1F4E79" w:val="clear"/>
            <w:tcMar>
              <w:top w:type="dxa" w:w="60"/>
              <w:left w:type="dxa" w:w="90"/>
              <w:bottom w:type="dxa" w:w="60"/>
              <w:right w:type="dxa" w:w="90"/>
            </w:tcMar>
          </w:tcPr>
          <w:p>
            <w:r>
              <w:rPr>
                <w:b/>
                <w:bCs/>
                <w:color w:val="FFFFFF"/>
                <w:sz w:val="19"/>
                <w:szCs w:val="19"/>
              </w:rPr>
              <w:t xml:space="preserve">Candidate input tested</w:t>
            </w:r>
          </w:p>
        </w:tc>
        <w:tc>
          <w:tcPr>
            <w:tcW w:type="dxa" w:w="3600"/>
            <w:shd w:fill="1F4E79" w:val="clear"/>
            <w:tcMar>
              <w:top w:type="dxa" w:w="60"/>
              <w:left w:type="dxa" w:w="90"/>
              <w:bottom w:type="dxa" w:w="60"/>
              <w:right w:type="dxa" w:w="90"/>
            </w:tcMar>
          </w:tcPr>
          <w:p>
            <w:r>
              <w:rPr>
                <w:b/>
                <w:bCs/>
                <w:color w:val="FFFFFF"/>
                <w:sz w:val="19"/>
                <w:szCs w:val="19"/>
              </w:rPr>
              <w:t xml:space="preserve">Result</w:t>
            </w:r>
          </w:p>
        </w:tc>
      </w:tr>
      <w:tr>
        <w:tc>
          <w:tcPr>
            <w:tcW w:type="dxa" w:w="5760"/>
            <w:shd w:fill="F5F7FA" w:val="clear"/>
            <w:tcMar>
              <w:top w:type="dxa" w:w="50"/>
              <w:left w:type="dxa" w:w="90"/>
              <w:bottom w:type="dxa" w:w="50"/>
              <w:right w:type="dxa" w:w="90"/>
            </w:tcMar>
          </w:tcPr>
          <w:p>
            <w:r>
              <w:rPr>
                <w:sz w:val="19"/>
                <w:szCs w:val="19"/>
              </w:rPr>
              <w:t xml:space="preserve">Smoothed multi-bar line slope</w:t>
            </w:r>
          </w:p>
        </w:tc>
        <w:tc>
          <w:tcPr>
            <w:tcW w:type="dxa" w:w="3600"/>
            <w:shd w:fill="F5F7FA" w:val="clear"/>
            <w:tcMar>
              <w:top w:type="dxa" w:w="50"/>
              <w:left w:type="dxa" w:w="90"/>
              <w:bottom w:type="dxa" w:w="50"/>
              <w:right w:type="dxa" w:w="90"/>
            </w:tcMar>
          </w:tcPr>
          <w:p>
            <w:r>
              <w:rPr>
                <w:sz w:val="19"/>
                <w:szCs w:val="19"/>
              </w:rPr>
              <w:t xml:space="preserve">Rejected — worse than 1-bar speed</w:t>
            </w:r>
          </w:p>
        </w:tc>
      </w:tr>
      <w:tr>
        <w:tc>
          <w:tcPr>
            <w:tcW w:type="dxa" w:w="5760"/>
            <w:shd w:fill="FFFFFF" w:val="clear"/>
            <w:tcMar>
              <w:top w:type="dxa" w:w="50"/>
              <w:left w:type="dxa" w:w="90"/>
              <w:bottom w:type="dxa" w:w="50"/>
              <w:right w:type="dxa" w:w="90"/>
            </w:tcMar>
          </w:tcPr>
          <w:p>
            <w:r>
              <w:rPr>
                <w:sz w:val="19"/>
                <w:szCs w:val="19"/>
              </w:rPr>
              <w:t xml:space="preserve">Value vs close (line distance from price)</w:t>
            </w:r>
          </w:p>
        </w:tc>
        <w:tc>
          <w:tcPr>
            <w:tcW w:type="dxa" w:w="3600"/>
            <w:shd w:fill="FFFFFF" w:val="clear"/>
            <w:tcMar>
              <w:top w:type="dxa" w:w="50"/>
              <w:left w:type="dxa" w:w="90"/>
              <w:bottom w:type="dxa" w:w="50"/>
              <w:right w:type="dxa" w:w="90"/>
            </w:tcMar>
          </w:tcPr>
          <w:p>
            <w:r>
              <w:rPr>
                <w:sz w:val="19"/>
                <w:szCs w:val="19"/>
              </w:rPr>
              <w:t xml:space="preserve">Rejected — does not separate states</w:t>
            </w:r>
          </w:p>
        </w:tc>
      </w:tr>
      <w:tr>
        <w:tc>
          <w:tcPr>
            <w:tcW w:type="dxa" w:w="5760"/>
            <w:shd w:fill="F5F7FA" w:val="clear"/>
            <w:tcMar>
              <w:top w:type="dxa" w:w="50"/>
              <w:left w:type="dxa" w:w="90"/>
              <w:bottom w:type="dxa" w:w="50"/>
              <w:right w:type="dxa" w:w="90"/>
            </w:tcMar>
          </w:tcPr>
          <w:p>
            <w:r>
              <w:rPr>
                <w:sz w:val="19"/>
                <w:szCs w:val="19"/>
              </w:rPr>
              <w:t xml:space="preserve">Hysteresis (prior-bar state)</w:t>
            </w:r>
          </w:p>
        </w:tc>
        <w:tc>
          <w:tcPr>
            <w:tcW w:type="dxa" w:w="3600"/>
            <w:shd w:fill="F5F7FA" w:val="clear"/>
            <w:tcMar>
              <w:top w:type="dxa" w:w="50"/>
              <w:left w:type="dxa" w:w="90"/>
              <w:bottom w:type="dxa" w:w="50"/>
              <w:right w:type="dxa" w:w="90"/>
            </w:tcMar>
          </w:tcPr>
          <w:p>
            <w:r>
              <w:rPr>
                <w:sz w:val="19"/>
                <w:szCs w:val="19"/>
              </w:rPr>
              <w:t xml:space="preserve">Rejected — no separation</w:t>
            </w:r>
          </w:p>
        </w:tc>
      </w:tr>
      <w:tr>
        <w:tc>
          <w:tcPr>
            <w:tcW w:type="dxa" w:w="5760"/>
            <w:shd w:fill="FFFFFF" w:val="clear"/>
            <w:tcMar>
              <w:top w:type="dxa" w:w="50"/>
              <w:left w:type="dxa" w:w="90"/>
              <w:bottom w:type="dxa" w:w="50"/>
              <w:right w:type="dxa" w:w="90"/>
            </w:tcMar>
          </w:tcPr>
          <w:p>
            <w:r>
              <w:rPr>
                <w:sz w:val="19"/>
                <w:szCs w:val="19"/>
              </w:rPr>
              <w:t xml:space="preserve">Acceleration of the line</w:t>
            </w:r>
          </w:p>
        </w:tc>
        <w:tc>
          <w:tcPr>
            <w:tcW w:type="dxa" w:w="3600"/>
            <w:shd w:fill="FFFFFF" w:val="clear"/>
            <w:tcMar>
              <w:top w:type="dxa" w:w="50"/>
              <w:left w:type="dxa" w:w="90"/>
              <w:bottom w:type="dxa" w:w="50"/>
              <w:right w:type="dxa" w:w="90"/>
            </w:tcMar>
          </w:tcPr>
          <w:p>
            <w:r>
              <w:rPr>
                <w:sz w:val="19"/>
                <w:szCs w:val="19"/>
              </w:rPr>
              <w:t xml:space="preserve">Rejected — no separation</w:t>
            </w:r>
          </w:p>
        </w:tc>
      </w:tr>
      <w:tr>
        <w:tc>
          <w:tcPr>
            <w:tcW w:type="dxa" w:w="5760"/>
            <w:shd w:fill="F5F7FA" w:val="clear"/>
            <w:tcMar>
              <w:top w:type="dxa" w:w="50"/>
              <w:left w:type="dxa" w:w="90"/>
              <w:bottom w:type="dxa" w:w="50"/>
              <w:right w:type="dxa" w:w="90"/>
            </w:tcMar>
          </w:tcPr>
          <w:p>
            <w:r>
              <w:rPr>
                <w:sz w:val="19"/>
                <w:szCs w:val="19"/>
              </w:rPr>
              <w:t xml:space="preserve">Recent average speed</w:t>
            </w:r>
          </w:p>
        </w:tc>
        <w:tc>
          <w:tcPr>
            <w:tcW w:type="dxa" w:w="3600"/>
            <w:shd w:fill="F5F7FA" w:val="clear"/>
            <w:tcMar>
              <w:top w:type="dxa" w:w="50"/>
              <w:left w:type="dxa" w:w="90"/>
              <w:bottom w:type="dxa" w:w="50"/>
              <w:right w:type="dxa" w:w="90"/>
            </w:tcMar>
          </w:tcPr>
          <w:p>
            <w:r>
              <w:rPr>
                <w:sz w:val="19"/>
                <w:szCs w:val="19"/>
              </w:rPr>
              <w:t xml:space="preserve">Rejected — no separation</w:t>
            </w:r>
          </w:p>
        </w:tc>
      </w:tr>
      <w:tr>
        <w:tc>
          <w:tcPr>
            <w:tcW w:type="dxa" w:w="5760"/>
            <w:shd w:fill="FFFFFF" w:val="clear"/>
            <w:tcMar>
              <w:top w:type="dxa" w:w="50"/>
              <w:left w:type="dxa" w:w="90"/>
              <w:bottom w:type="dxa" w:w="50"/>
              <w:right w:type="dxa" w:w="90"/>
            </w:tcMar>
          </w:tcPr>
          <w:p>
            <w:r>
              <w:rPr>
                <w:sz w:val="19"/>
                <w:szCs w:val="19"/>
              </w:rPr>
              <w:t xml:space="preserve">ATR normalization variants (7/14/20/50, Wilder/EMA)</w:t>
            </w:r>
          </w:p>
        </w:tc>
        <w:tc>
          <w:tcPr>
            <w:tcW w:type="dxa" w:w="3600"/>
            <w:shd w:fill="FFFFFF" w:val="clear"/>
            <w:tcMar>
              <w:top w:type="dxa" w:w="50"/>
              <w:left w:type="dxa" w:w="90"/>
              <w:bottom w:type="dxa" w:w="50"/>
              <w:right w:type="dxa" w:w="90"/>
            </w:tcMar>
          </w:tcPr>
          <w:p>
            <w:r>
              <w:rPr>
                <w:sz w:val="19"/>
                <w:szCs w:val="19"/>
              </w:rPr>
              <w:t xml:space="preserve">Rejected — all plateau at ~72%</w:t>
            </w:r>
          </w:p>
        </w:tc>
      </w:tr>
      <w:tr>
        <w:tc>
          <w:tcPr>
            <w:tcW w:type="dxa" w:w="5760"/>
            <w:shd w:fill="F5F7FA" w:val="clear"/>
            <w:tcMar>
              <w:top w:type="dxa" w:w="50"/>
              <w:left w:type="dxa" w:w="90"/>
              <w:bottom w:type="dxa" w:w="50"/>
              <w:right w:type="dxa" w:w="90"/>
            </w:tcMar>
          </w:tcPr>
          <w:p>
            <w:r>
              <w:rPr>
                <w:sz w:val="19"/>
                <w:szCs w:val="19"/>
              </w:rPr>
              <w:t xml:space="preserve">Anchor-line (VWAP) cross</w:t>
            </w:r>
          </w:p>
        </w:tc>
        <w:tc>
          <w:tcPr>
            <w:tcW w:type="dxa" w:w="3600"/>
            <w:shd w:fill="F5F7FA" w:val="clear"/>
            <w:tcMar>
              <w:top w:type="dxa" w:w="50"/>
              <w:left w:type="dxa" w:w="90"/>
              <w:bottom w:type="dxa" w:w="50"/>
              <w:right w:type="dxa" w:w="90"/>
            </w:tcMar>
          </w:tcPr>
          <w:p>
            <w:r>
              <w:rPr>
                <w:sz w:val="19"/>
                <w:szCs w:val="19"/>
              </w:rPr>
              <w:t xml:space="preserve">Rejected — marginal, recovers almost nothing</w:t>
            </w:r>
          </w:p>
        </w:tc>
      </w:tr>
      <w:tr>
        <w:tc>
          <w:tcPr>
            <w:tcW w:type="dxa" w:w="5760"/>
            <w:shd w:fill="FFFFFF" w:val="clear"/>
            <w:tcMar>
              <w:top w:type="dxa" w:w="50"/>
              <w:left w:type="dxa" w:w="90"/>
              <w:bottom w:type="dxa" w:w="50"/>
              <w:right w:type="dxa" w:w="90"/>
            </w:tcMar>
          </w:tcPr>
          <w:p>
            <w:r>
              <w:rPr>
                <w:sz w:val="19"/>
                <w:szCs w:val="19"/>
              </w:rPr>
              <w:t xml:space="preserve">Higher-TF (WAVE/TIDE) agreement on missed bars</w:t>
            </w:r>
          </w:p>
        </w:tc>
        <w:tc>
          <w:tcPr>
            <w:tcW w:type="dxa" w:w="3600"/>
            <w:shd w:fill="FFFFFF" w:val="clear"/>
            <w:tcMar>
              <w:top w:type="dxa" w:w="50"/>
              <w:left w:type="dxa" w:w="90"/>
              <w:bottom w:type="dxa" w:w="50"/>
              <w:right w:type="dxa" w:w="90"/>
            </w:tcMar>
          </w:tcPr>
          <w:p>
            <w:r>
              <w:rPr>
                <w:sz w:val="19"/>
                <w:szCs w:val="19"/>
              </w:rPr>
              <w:t xml:space="preserve">Rejected — agrees below chance (~40%)</w:t>
            </w:r>
          </w:p>
        </w:tc>
      </w:tr>
    </w:tbl>
    <w:p>
      <w:pPr>
        <w:spacing w:after="120" w:line="276"/>
      </w:pPr>
      <w:r>
        <w:t xml:space="preserve">The overlap in the data (the same 1-bar speed sometimes producing Neutral, sometimes Committed) is the fingerprint of an </w:t>
      </w:r>
      <w:r>
        <w:rPr>
          <w:i/>
          <w:iCs/>
        </w:rPr>
        <w:t xml:space="preserve">adaptive</w:t>
      </w:r>
      <w:r>
        <w:t xml:space="preserve"> threshold that shifts with conditions we cannot observe — consistent with the name “Adaptive Momentum” and with a value the vendor deliberately keeps internal. A function cannot be computed without its inputs; those inputs are not in the feed.</w:t>
      </w:r>
    </w:p>
    <w:p>
      <w:pPr>
        <w:pStyle w:val="Heading2"/>
        <w:spacing w:after="100" w:before="240"/>
      </w:pPr>
      <w:r>
        <w:rPr>
          <w:color w:val="1F4E79"/>
        </w:rPr>
        <w:t xml:space="preserve">5.4 The false-90% trap (why over-firing is not a solution)</w:t>
      </w:r>
    </w:p>
    <w:p>
      <w:pPr>
        <w:spacing w:after="120" w:line="276"/>
      </w:pPr>
      <w:r>
        <w:t xml:space="preserve">It is possible to “match” 90% of SS360's signals by lowering the commit threshold until the engine fires on almost every bar — but that reaches ~200 signals to catch ~75 of theirs, at under 30% precision (over 70% of the output is noise). That is coincidental overlap by saturation, not reproduction, and it is worse than useless for trading. The honest, high-precision reproduction ceiling from public data is roughly 55–74% of their signals, varying by instrument.</w:t>
      </w:r>
    </w:p>
    <w:tbl>
      <w:tblPr>
        <w:tblW w:type="pct" w:w="100%"/>
        <w:tblBorders>
          <w:top w:val="single" w:color="1F4E79" w:sz="2"/>
          <w:left w:val="single" w:color="1F4E79" w:sz="12"/>
          <w:bottom w:val="single" w:color="1F4E79" w:sz="2"/>
          <w:right w:val="single" w:color="1F4E79" w:sz="2"/>
          <w:insideH w:val="none"/>
          <w:insideV w:val="none"/>
        </w:tblBorders>
      </w:tblPr>
      <w:tblGrid>
        <w:gridCol w:w="9360"/>
      </w:tblGrid>
      <w:tr>
        <w:tc>
          <w:tcPr>
            <w:tcW w:type="dxa" w:w="9360"/>
            <w:shd w:fill="F0F4F8" w:val="clear"/>
            <w:tcMar>
              <w:top w:type="dxa" w:w="120"/>
              <w:left w:type="dxa" w:w="180"/>
              <w:bottom w:type="dxa" w:w="120"/>
              <w:right w:type="dxa" w:w="180"/>
            </w:tcMar>
          </w:tcPr>
          <w:p>
            <w:pPr>
              <w:spacing w:after="60"/>
            </w:pPr>
            <w:r>
              <w:rPr>
                <w:b/>
                <w:bCs/>
                <w:color w:val="1F4E79"/>
              </w:rPr>
              <w:t xml:space="preserve">Why this is by design, not by accident</w:t>
            </w:r>
          </w:p>
          <w:p>
            <w:pPr>
              <w:spacing w:after="50" w:line="264"/>
            </w:pPr>
            <w:r>
              <w:t xml:space="preserve">If the state were reconstructable from the transmitted feed, the product would have no defensible value. Computing it server-side and sending only the finished output is exactly how a paid signal service protects its core. The wall we hit is the product's moat. This also explains why the vendor can publish its full framework openly and still keep customers: the framework is teachable, but the state computation is not extractable.</w:t>
            </w:r>
          </w:p>
        </w:tc>
      </w:tr>
    </w:tbl>
    <w:p>
      <w:pPr>
        <w:pStyle w:val="Heading1"/>
        <w:spacing w:after="140" w:before="320"/>
      </w:pPr>
      <w:r>
        <w:rPr>
          <w:b/>
          <w:bCs/>
          <w:color w:val="1F4E79"/>
        </w:rPr>
        <w:t xml:space="preserve">6. Where the edge actually lives</w:t>
      </w:r>
    </w:p>
    <w:p>
      <w:pPr>
        <w:spacing w:after="120" w:line="276"/>
      </w:pPr>
      <w:r>
        <w:t xml:space="preserve">A subtle but important conclusion: the raw 5-minute signal, taken alone, is close to a coin flip on the choppy instruments. SS360's edge is not “every signal wins.” It lives in </w:t>
      </w:r>
      <w:r>
        <w:rPr>
          <w:b/>
          <w:bCs/>
        </w:rPr>
        <w:t xml:space="preserve">disciplined application</w:t>
      </w:r>
      <w:r>
        <w:t xml:space="preserve">:</w:t>
      </w:r>
    </w:p>
    <w:p>
      <w:pPr>
        <w:pStyle w:val="ListParagraph"/>
        <w:numPr>
          <w:ilvl w:val="0"/>
          <w:numId w:val="2"/>
        </w:numPr>
        <w:spacing w:after="70" w:line="270"/>
      </w:pPr>
      <w:r>
        <w:t xml:space="preserve">Taking Ripl signals only when they ride the Tide (higher-TF agreement).</w:t>
      </w:r>
    </w:p>
    <w:p>
      <w:pPr>
        <w:pStyle w:val="ListParagraph"/>
        <w:numPr>
          <w:ilvl w:val="0"/>
          <w:numId w:val="2"/>
        </w:numPr>
        <w:spacing w:after="70" w:line="270"/>
      </w:pPr>
      <w:r>
        <w:t xml:space="preserve">Treating fight-the-Tide signals as small, fast scalps — not trend trades.</w:t>
      </w:r>
    </w:p>
    <w:p>
      <w:pPr>
        <w:pStyle w:val="ListParagraph"/>
        <w:numPr>
          <w:ilvl w:val="0"/>
          <w:numId w:val="2"/>
        </w:numPr>
        <w:spacing w:after="70" w:line="270"/>
      </w:pPr>
      <w:r>
        <w:t xml:space="preserve">Managing an exit, which the service itself does not provide.</w:t>
      </w:r>
    </w:p>
    <w:p>
      <w:pPr>
        <w:pStyle w:val="ListParagraph"/>
        <w:numPr>
          <w:ilvl w:val="0"/>
          <w:numId w:val="2"/>
        </w:numPr>
        <w:spacing w:after="70" w:line="270"/>
      </w:pPr>
      <w:r>
        <w:t xml:space="preserve">Selecting instruments where follow-through is genuine (metals, energy, some indices) over the choppiest (NQ/ES).</w:t>
      </w:r>
    </w:p>
    <w:p>
      <w:pPr>
        <w:spacing w:after="120" w:line="276"/>
      </w:pPr>
      <w:r>
        <w:t xml:space="preserve">This is why a disciplined trader profits with the tool while a careless one does not, using the identical signals. The discretionary judgment </w:t>
      </w:r>
      <w:r>
        <w:rPr>
          <w:i/>
          <w:iCs/>
        </w:rPr>
        <w:t xml:space="preserve">is</w:t>
      </w:r>
      <w:r>
        <w:t xml:space="preserve"> part of the edge — and it is the part an outside reconstruction cannot replicate, because it depends on the un-transmitted state core plus human discipline.</w:t>
      </w:r>
    </w:p>
    <w:p>
      <w:pPr>
        <w:pStyle w:val="Heading1"/>
        <w:spacing w:after="140" w:before="320"/>
      </w:pPr>
      <w:r>
        <w:rPr>
          <w:b/>
          <w:bCs/>
          <w:color w:val="1F4E79"/>
        </w:rPr>
        <w:t xml:space="preserve">7. Data access and method (for reproducibility)</w:t>
      </w:r>
    </w:p>
    <w:p>
      <w:pPr>
        <w:pStyle w:val="Heading2"/>
        <w:spacing w:after="100" w:before="240"/>
      </w:pPr>
      <w:r>
        <w:rPr>
          <w:color w:val="1F4E79"/>
        </w:rPr>
        <w:t xml:space="preserve">7.1 The data source</w:t>
      </w:r>
    </w:p>
    <w:p>
      <w:pPr>
        <w:spacing w:after="120" w:line="276"/>
      </w:pPr>
      <w:r>
        <w:t xml:space="preserve">SS360 exposes a chart data endpoint that returns, per timeframe, an array of bars each carrying: time, line value, state integer, OHLC, and anchor VWAP; plus the fired signal markers; plus the current TWR labels. This is the ground truth used throughout. Access was personal-use of a licensed subscription; the data was never redistributed.</w:t>
      </w:r>
    </w:p>
    <w:p>
      <w:pPr>
        <w:spacing w:after="120" w:line="276"/>
      </w:pPr>
      <w:r>
        <w:rPr>
          <w:rFonts w:ascii="Consolas" w:cs="Consolas" w:eastAsia="Consolas" w:hAnsi="Consolas"/>
          <w:sz w:val="19"/>
          <w:szCs w:val="19"/>
        </w:rPr>
        <w:t xml:space="preserve">api endpoint: /api/vajra/chart?ticker=SYMBOL</w:t>
      </w:r>
    </w:p>
    <w:p>
      <w:pPr>
        <w:pStyle w:val="Heading2"/>
        <w:spacing w:after="100" w:before="240"/>
      </w:pPr>
      <w:r>
        <w:rPr>
          <w:color w:val="1F4E79"/>
        </w:rPr>
        <w:t xml:space="preserve">7.2 Timeframe-key caveat</w:t>
      </w:r>
    </w:p>
    <w:p>
      <w:pPr>
        <w:spacing w:after="120" w:line="276"/>
      </w:pPr>
      <w:r>
        <w:t xml:space="preserve">The API's internal key names are misleading (shared code across the equities and futures products). The keys must be mapped by their measured bar-gap, never by name. On futures: the key labeled “daily” is actually 15-minute (Wave); the key labeled “weekly” is actually 1-hour (Tide).</w:t>
      </w:r>
    </w:p>
    <w:p>
      <w:pPr>
        <w:pStyle w:val="Heading2"/>
        <w:spacing w:after="100" w:before="240"/>
      </w:pPr>
      <w:r>
        <w:rPr>
          <w:color w:val="1F4E79"/>
        </w:rPr>
        <w:t xml:space="preserve">7.3 Verification discipline</w:t>
      </w:r>
    </w:p>
    <w:p>
      <w:pPr>
        <w:spacing w:after="120" w:line="276"/>
      </w:pPr>
      <w:r>
        <w:t xml:space="preserve">Every claim in this document was checked against causal, no-look-ahead reconstruction. An early positive backtest result (a multi-timeframe engine appearing highly profitable over 46 days) was traced to a look-ahead bug in how higher-timeframe alignment was read; once corrected to use only closed higher-TF bars, the apparent edge disappeared. This is recorded here as a caution: any future backtest of this system must confirm the higher-timeframe reads use only completed bars.</w:t>
      </w:r>
    </w:p>
    <w:p>
      <w:pPr>
        <w:pStyle w:val="Heading1"/>
        <w:spacing w:after="140" w:before="320"/>
      </w:pPr>
      <w:r>
        <w:rPr>
          <w:b/>
          <w:bCs/>
          <w:color w:val="1F4E79"/>
        </w:rPr>
        <w:t xml:space="preserve">8. Status of build artifacts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3660"/>
        <w:gridCol w:w="2800"/>
      </w:tblGrid>
      <w:tr>
        <w:trPr>
          <w:tblHeader/>
        </w:trPr>
        <w:tc>
          <w:tcPr>
            <w:tcW w:type="dxa" w:w="2900"/>
            <w:shd w:fill="1F4E79" w:val="clear"/>
            <w:tcMar>
              <w:top w:type="dxa" w:w="60"/>
              <w:left w:type="dxa" w:w="90"/>
              <w:bottom w:type="dxa" w:w="60"/>
              <w:right w:type="dxa" w:w="90"/>
            </w:tcMar>
          </w:tcPr>
          <w:p>
            <w:r>
              <w:rPr>
                <w:b/>
                <w:bCs/>
                <w:color w:val="FFFFFF"/>
                <w:sz w:val="19"/>
                <w:szCs w:val="19"/>
              </w:rPr>
              <w:t xml:space="preserve">Artifact</w:t>
            </w:r>
          </w:p>
        </w:tc>
        <w:tc>
          <w:tcPr>
            <w:tcW w:type="dxa" w:w="3660"/>
            <w:shd w:fill="1F4E79" w:val="clear"/>
            <w:tcMar>
              <w:top w:type="dxa" w:w="60"/>
              <w:left w:type="dxa" w:w="90"/>
              <w:bottom w:type="dxa" w:w="60"/>
              <w:right w:type="dxa" w:w="90"/>
            </w:tcMar>
          </w:tcPr>
          <w:p>
            <w:r>
              <w:rPr>
                <w:b/>
                <w:bCs/>
                <w:color w:val="FFFFFF"/>
                <w:sz w:val="19"/>
                <w:szCs w:val="19"/>
              </w:rPr>
              <w:t xml:space="preserve">What it is</w:t>
            </w:r>
          </w:p>
        </w:tc>
        <w:tc>
          <w:tcPr>
            <w:tcW w:type="dxa" w:w="2800"/>
            <w:shd w:fill="1F4E79" w:val="clear"/>
            <w:tcMar>
              <w:top w:type="dxa" w:w="60"/>
              <w:left w:type="dxa" w:w="90"/>
              <w:bottom w:type="dxa" w:w="60"/>
              <w:right w:type="dxa" w:w="90"/>
            </w:tcMar>
          </w:tcPr>
          <w:p>
            <w:r>
              <w:rPr>
                <w:b/>
                <w:bCs/>
                <w:color w:val="FFFFFF"/>
                <w:sz w:val="19"/>
                <w:szCs w:val="19"/>
              </w:rPr>
              <w:t xml:space="preserve">Status</w:t>
            </w:r>
          </w:p>
        </w:tc>
      </w:tr>
      <w:tr>
        <w:tc>
          <w:tcPr>
            <w:tcW w:type="dxa" w:w="2900"/>
            <w:shd w:fill="F5F7FA" w:val="clear"/>
            <w:tcMar>
              <w:top w:type="dxa" w:w="50"/>
              <w:left w:type="dxa" w:w="90"/>
              <w:bottom w:type="dxa" w:w="50"/>
              <w:right w:type="dxa" w:w="90"/>
            </w:tcMar>
          </w:tcPr>
          <w:p>
            <w:r>
              <w:rPr>
                <w:sz w:val="19"/>
                <w:szCs w:val="19"/>
              </w:rPr>
              <w:t xml:space="preserve">Signal line + references</w:t>
            </w:r>
          </w:p>
        </w:tc>
        <w:tc>
          <w:tcPr>
            <w:tcW w:type="dxa" w:w="3660"/>
            <w:shd w:fill="F5F7FA" w:val="clear"/>
            <w:tcMar>
              <w:top w:type="dxa" w:w="50"/>
              <w:left w:type="dxa" w:w="90"/>
              <w:bottom w:type="dxa" w:w="50"/>
              <w:right w:type="dxa" w:w="90"/>
            </w:tcMar>
          </w:tcPr>
          <w:p>
            <w:r>
              <w:rPr>
                <w:sz w:val="19"/>
                <w:szCs w:val="19"/>
              </w:rPr>
              <w:t xml:space="preserve">TEMA-13, EMA-25, EMA-50, VWAP</w:t>
            </w:r>
          </w:p>
        </w:tc>
        <w:tc>
          <w:tcPr>
            <w:tcW w:type="dxa" w:w="2800"/>
            <w:shd w:fill="F5F7FA" w:val="clear"/>
            <w:tcMar>
              <w:top w:type="dxa" w:w="50"/>
              <w:left w:type="dxa" w:w="90"/>
              <w:bottom w:type="dxa" w:w="50"/>
              <w:right w:type="dxa" w:w="90"/>
            </w:tcMar>
          </w:tcPr>
          <w:p>
            <w:r>
              <w:rPr>
                <w:sz w:val="19"/>
                <w:szCs w:val="19"/>
              </w:rPr>
              <w:t xml:space="preserve">Confirmed, reproducible</w:t>
            </w:r>
          </w:p>
        </w:tc>
      </w:tr>
      <w:tr>
        <w:tc>
          <w:tcPr>
            <w:tcW w:type="dxa" w:w="2900"/>
            <w:shd w:fill="FFFFFF" w:val="clear"/>
            <w:tcMar>
              <w:top w:type="dxa" w:w="50"/>
              <w:left w:type="dxa" w:w="90"/>
              <w:bottom w:type="dxa" w:w="50"/>
              <w:right w:type="dxa" w:w="90"/>
            </w:tcMar>
          </w:tcPr>
          <w:p>
            <w:r>
              <w:rPr>
                <w:sz w:val="19"/>
                <w:szCs w:val="19"/>
              </w:rPr>
              <w:t xml:space="preserve">Signal rule</w:t>
            </w:r>
          </w:p>
        </w:tc>
        <w:tc>
          <w:tcPr>
            <w:tcW w:type="dxa" w:w="3660"/>
            <w:shd w:fill="FFFFFF" w:val="clear"/>
            <w:tcMar>
              <w:top w:type="dxa" w:w="50"/>
              <w:left w:type="dxa" w:w="90"/>
              <w:bottom w:type="dxa" w:w="50"/>
              <w:right w:type="dxa" w:w="90"/>
            </w:tcMar>
          </w:tcPr>
          <w:p>
            <w:r>
              <w:rPr>
                <w:sz w:val="19"/>
                <w:szCs w:val="19"/>
              </w:rPr>
              <w:t xml:space="preserve">State zone-crossing</w:t>
            </w:r>
          </w:p>
        </w:tc>
        <w:tc>
          <w:tcPr>
            <w:tcW w:type="dxa" w:w="2800"/>
            <w:shd w:fill="FFFFFF" w:val="clear"/>
            <w:tcMar>
              <w:top w:type="dxa" w:w="50"/>
              <w:left w:type="dxa" w:w="90"/>
              <w:bottom w:type="dxa" w:w="50"/>
              <w:right w:type="dxa" w:w="90"/>
            </w:tcMar>
          </w:tcPr>
          <w:p>
            <w:r>
              <w:rPr>
                <w:sz w:val="19"/>
                <w:szCs w:val="19"/>
              </w:rPr>
              <w:t xml:space="preserve">Confirmed, 100% from state</w:t>
            </w:r>
          </w:p>
        </w:tc>
      </w:tr>
      <w:tr>
        <w:tc>
          <w:tcPr>
            <w:tcW w:type="dxa" w:w="2900"/>
            <w:shd w:fill="F5F7FA" w:val="clear"/>
            <w:tcMar>
              <w:top w:type="dxa" w:w="50"/>
              <w:left w:type="dxa" w:w="90"/>
              <w:bottom w:type="dxa" w:w="50"/>
              <w:right w:type="dxa" w:w="90"/>
            </w:tcMar>
          </w:tcPr>
          <w:p>
            <w:r>
              <w:rPr>
                <w:sz w:val="19"/>
                <w:szCs w:val="19"/>
              </w:rPr>
              <w:t xml:space="preserve">State direction + neutral gate</w:t>
            </w:r>
          </w:p>
        </w:tc>
        <w:tc>
          <w:tcPr>
            <w:tcW w:type="dxa" w:w="3660"/>
            <w:shd w:fill="F5F7FA" w:val="clear"/>
            <w:tcMar>
              <w:top w:type="dxa" w:w="50"/>
              <w:left w:type="dxa" w:w="90"/>
              <w:bottom w:type="dxa" w:w="50"/>
              <w:right w:type="dxa" w:w="90"/>
            </w:tcMar>
          </w:tcPr>
          <w:p>
            <w:r>
              <w:rPr>
                <w:sz w:val="19"/>
                <w:szCs w:val="19"/>
              </w:rPr>
              <w:t xml:space="preserve">1-bar line speed + threshold</w:t>
            </w:r>
          </w:p>
        </w:tc>
        <w:tc>
          <w:tcPr>
            <w:tcW w:type="dxa" w:w="2800"/>
            <w:shd w:fill="F5F7FA" w:val="clear"/>
            <w:tcMar>
              <w:top w:type="dxa" w:w="50"/>
              <w:left w:type="dxa" w:w="90"/>
              <w:bottom w:type="dxa" w:w="50"/>
              <w:right w:type="dxa" w:w="90"/>
            </w:tcMar>
          </w:tcPr>
          <w:p>
            <w:r>
              <w:rPr>
                <w:sz w:val="19"/>
                <w:szCs w:val="19"/>
              </w:rPr>
              <w:t xml:space="preserve">~72%, reproducible</w:t>
            </w:r>
          </w:p>
        </w:tc>
      </w:tr>
      <w:tr>
        <w:tc>
          <w:tcPr>
            <w:tcW w:type="dxa" w:w="2900"/>
            <w:shd w:fill="FFFFFF" w:val="clear"/>
            <w:tcMar>
              <w:top w:type="dxa" w:w="50"/>
              <w:left w:type="dxa" w:w="90"/>
              <w:bottom w:type="dxa" w:w="50"/>
              <w:right w:type="dxa" w:w="90"/>
            </w:tcMar>
          </w:tcPr>
          <w:p>
            <w:r>
              <w:rPr>
                <w:sz w:val="19"/>
                <w:szCs w:val="19"/>
              </w:rPr>
              <w:t xml:space="preserve">State magnitude</w:t>
            </w:r>
          </w:p>
        </w:tc>
        <w:tc>
          <w:tcPr>
            <w:tcW w:type="dxa" w:w="3660"/>
            <w:shd w:fill="FFFFFF" w:val="clear"/>
            <w:tcMar>
              <w:top w:type="dxa" w:w="50"/>
              <w:left w:type="dxa" w:w="90"/>
              <w:bottom w:type="dxa" w:w="50"/>
              <w:right w:type="dxa" w:w="90"/>
            </w:tcMar>
          </w:tcPr>
          <w:p>
            <w:r>
              <w:rPr>
                <w:sz w:val="19"/>
                <w:szCs w:val="19"/>
              </w:rPr>
              <w:t xml:space="preserve">LR/V structure ladder</w:t>
            </w:r>
          </w:p>
        </w:tc>
        <w:tc>
          <w:tcPr>
            <w:tcW w:type="dxa" w:w="2800"/>
            <w:shd w:fill="FFFFFF" w:val="clear"/>
            <w:tcMar>
              <w:top w:type="dxa" w:w="50"/>
              <w:left w:type="dxa" w:w="90"/>
              <w:bottom w:type="dxa" w:w="50"/>
              <w:right w:type="dxa" w:w="90"/>
            </w:tcMar>
          </w:tcPr>
          <w:p>
            <w:r>
              <w:rPr>
                <w:sz w:val="19"/>
                <w:szCs w:val="19"/>
              </w:rPr>
              <w:t xml:space="preserve">Reproducible</w:t>
            </w:r>
          </w:p>
        </w:tc>
      </w:tr>
      <w:tr>
        <w:tc>
          <w:tcPr>
            <w:tcW w:type="dxa" w:w="2900"/>
            <w:shd w:fill="F5F7FA" w:val="clear"/>
            <w:tcMar>
              <w:top w:type="dxa" w:w="50"/>
              <w:left w:type="dxa" w:w="90"/>
              <w:bottom w:type="dxa" w:w="50"/>
              <w:right w:type="dxa" w:w="90"/>
            </w:tcMar>
          </w:tcPr>
          <w:p>
            <w:r>
              <w:rPr>
                <w:sz w:val="19"/>
                <w:szCs w:val="19"/>
              </w:rPr>
              <w:t xml:space="preserve">Exact state (transition bars)</w:t>
            </w:r>
          </w:p>
        </w:tc>
        <w:tc>
          <w:tcPr>
            <w:tcW w:type="dxa" w:w="3660"/>
            <w:shd w:fill="F5F7FA" w:val="clear"/>
            <w:tcMar>
              <w:top w:type="dxa" w:w="50"/>
              <w:left w:type="dxa" w:w="90"/>
              <w:bottom w:type="dxa" w:w="50"/>
              <w:right w:type="dxa" w:w="90"/>
            </w:tcMar>
          </w:tcPr>
          <w:p>
            <w:r>
              <w:rPr>
                <w:sz w:val="19"/>
                <w:szCs w:val="19"/>
              </w:rPr>
              <w:t xml:space="preserve">Server-side Adaptive Momentum</w:t>
            </w:r>
          </w:p>
        </w:tc>
        <w:tc>
          <w:tcPr>
            <w:tcW w:type="dxa" w:w="2800"/>
            <w:shd w:fill="F5F7FA" w:val="clear"/>
            <w:tcMar>
              <w:top w:type="dxa" w:w="50"/>
              <w:left w:type="dxa" w:w="90"/>
              <w:bottom w:type="dxa" w:w="50"/>
              <w:right w:type="dxa" w:w="90"/>
            </w:tcMar>
          </w:tcPr>
          <w:p>
            <w:r>
              <w:rPr>
                <w:sz w:val="19"/>
                <w:szCs w:val="19"/>
              </w:rPr>
              <w:t xml:space="preserve">Not recoverable</w:t>
            </w:r>
          </w:p>
        </w:tc>
      </w:tr>
      <w:tr>
        <w:tc>
          <w:tcPr>
            <w:tcW w:type="dxa" w:w="2900"/>
            <w:shd w:fill="FFFFFF" w:val="clear"/>
            <w:tcMar>
              <w:top w:type="dxa" w:w="50"/>
              <w:left w:type="dxa" w:w="90"/>
              <w:bottom w:type="dxa" w:w="50"/>
              <w:right w:type="dxa" w:w="90"/>
            </w:tcMar>
          </w:tcPr>
          <w:p>
            <w:r>
              <w:rPr>
                <w:sz w:val="19"/>
                <w:szCs w:val="19"/>
              </w:rPr>
              <w:t xml:space="preserve">Ride/fight framework</w:t>
            </w:r>
          </w:p>
        </w:tc>
        <w:tc>
          <w:tcPr>
            <w:tcW w:type="dxa" w:w="3660"/>
            <w:shd w:fill="FFFFFF" w:val="clear"/>
            <w:tcMar>
              <w:top w:type="dxa" w:w="50"/>
              <w:left w:type="dxa" w:w="90"/>
              <w:bottom w:type="dxa" w:w="50"/>
              <w:right w:type="dxa" w:w="90"/>
            </w:tcMar>
          </w:tcPr>
          <w:p>
            <w:r>
              <w:rPr>
                <w:sz w:val="19"/>
                <w:szCs w:val="19"/>
              </w:rPr>
              <w:t xml:space="preserve">HTF-alignment filter</w:t>
            </w:r>
          </w:p>
        </w:tc>
        <w:tc>
          <w:tcPr>
            <w:tcW w:type="dxa" w:w="2800"/>
            <w:shd w:fill="FFFFFF" w:val="clear"/>
            <w:tcMar>
              <w:top w:type="dxa" w:w="50"/>
              <w:left w:type="dxa" w:w="90"/>
              <w:bottom w:type="dxa" w:w="50"/>
              <w:right w:type="dxa" w:w="90"/>
            </w:tcMar>
          </w:tcPr>
          <w:p>
            <w:r>
              <w:rPr>
                <w:sz w:val="19"/>
                <w:szCs w:val="19"/>
              </w:rPr>
              <w:t xml:space="preserve">Validated on 8 futures</w:t>
            </w:r>
          </w:p>
        </w:tc>
      </w:tr>
      <w:tr>
        <w:tc>
          <w:tcPr>
            <w:tcW w:type="dxa" w:w="2900"/>
            <w:shd w:fill="F5F7FA" w:val="clear"/>
            <w:tcMar>
              <w:top w:type="dxa" w:w="50"/>
              <w:left w:type="dxa" w:w="90"/>
              <w:bottom w:type="dxa" w:w="50"/>
              <w:right w:type="dxa" w:w="90"/>
            </w:tcMar>
          </w:tcPr>
          <w:p>
            <w:r>
              <w:rPr>
                <w:sz w:val="19"/>
                <w:szCs w:val="19"/>
              </w:rPr>
              <w:t xml:space="preserve">Pine cockpit / signal tools</w:t>
            </w:r>
          </w:p>
        </w:tc>
        <w:tc>
          <w:tcPr>
            <w:tcW w:type="dxa" w:w="3660"/>
            <w:shd w:fill="F5F7FA" w:val="clear"/>
            <w:tcMar>
              <w:top w:type="dxa" w:w="50"/>
              <w:left w:type="dxa" w:w="90"/>
              <w:bottom w:type="dxa" w:w="50"/>
              <w:right w:type="dxa" w:w="90"/>
            </w:tcMar>
          </w:tcPr>
          <w:p>
            <w:r>
              <w:rPr>
                <w:sz w:val="19"/>
                <w:szCs w:val="19"/>
              </w:rPr>
              <w:t xml:space="preserve">TV indicators w/ alerts + HTF dashboard</w:t>
            </w:r>
          </w:p>
        </w:tc>
        <w:tc>
          <w:tcPr>
            <w:tcW w:type="dxa" w:w="2800"/>
            <w:shd w:fill="F5F7FA" w:val="clear"/>
            <w:tcMar>
              <w:top w:type="dxa" w:w="50"/>
              <w:left w:type="dxa" w:w="90"/>
              <w:bottom w:type="dxa" w:w="50"/>
              <w:right w:type="dxa" w:w="90"/>
            </w:tcMar>
          </w:tcPr>
          <w:p>
            <w:r>
              <w:rPr>
                <w:sz w:val="19"/>
                <w:szCs w:val="19"/>
              </w:rPr>
              <w:t xml:space="preserve">Built; discretionary aids, not auto-P&amp;L</w:t>
            </w:r>
          </w:p>
        </w:tc>
      </w:tr>
    </w:tbl>
    <w:p>
      <w:pPr>
        <w:pStyle w:val="Heading1"/>
        <w:spacing w:after="140" w:before="320"/>
      </w:pPr>
      <w:r>
        <w:rPr>
          <w:b/>
          <w:bCs/>
          <w:color w:val="1F4E79"/>
        </w:rPr>
        <w:t xml:space="preserve">9. Conclusion &amp; honest assessment</w:t>
      </w:r>
    </w:p>
    <w:p>
      <w:pPr>
        <w:spacing w:after="120" w:line="276"/>
      </w:pPr>
      <w:r>
        <w:t xml:space="preserve">SS360 is a genuine, coherent, and defensible signal system. Its visible machinery is fully understood and reproducible: a TEMA-13 line, two EMA reference lines, a session-VWAP anchor, a 7-level momentum-plus-structure state, and a zone-crossing signal rule, organized through a three-timeframe (TWR) confluence framework whose “ride the Tide” discipline demonstrably improves signal quality on real data across eight futures.</w:t>
      </w:r>
    </w:p>
    <w:p>
      <w:pPr>
        <w:spacing w:after="120" w:line="276"/>
      </w:pPr>
      <w:r>
        <w:t xml:space="preserve">The one thing that could not be reproduced is the exact per-bar state on the bars that trigger signals, because the Adaptive Momentum computation that produces it runs on SS360's servers and its inputs are never sent to the client. This was established not by assumption but by exhaustively testing and rejecting every recoverable candidate input, and by confirming the finished state — but not its inputs — is what the feed transmits.</w:t>
      </w:r>
    </w:p>
    <w:p>
      <w:pPr>
        <w:spacing w:after="120" w:line="276"/>
      </w:pPr>
      <w:r>
        <w:t xml:space="preserve">Practically: the framework and understanding developed here make a disciplined trader materially better with the tool, but they do not constitute a standalone replacement for it. Full independence from the service would require the state core, and that core is, by design, outside the reach of any external reconstruction.</w:t>
      </w:r>
    </w:p>
    <w:tbl>
      <w:tblPr>
        <w:tblW w:type="pct" w:w="100%"/>
        <w:tblBorders>
          <w:top w:val="single" w:color="1F4E79" w:sz="2"/>
          <w:left w:val="single" w:color="1F4E79" w:sz="12"/>
          <w:bottom w:val="single" w:color="1F4E79" w:sz="2"/>
          <w:right w:val="single" w:color="1F4E79" w:sz="2"/>
          <w:insideH w:val="none"/>
          <w:insideV w:val="none"/>
        </w:tblBorders>
      </w:tblPr>
      <w:tblGrid>
        <w:gridCol w:w="9360"/>
      </w:tblGrid>
      <w:tr>
        <w:tc>
          <w:tcPr>
            <w:tcW w:type="dxa" w:w="9360"/>
            <w:shd w:fill="F0F4F8" w:val="clear"/>
            <w:tcMar>
              <w:top w:type="dxa" w:w="120"/>
              <w:left w:type="dxa" w:w="180"/>
              <w:bottom w:type="dxa" w:w="120"/>
              <w:right w:type="dxa" w:w="180"/>
            </w:tcMar>
          </w:tcPr>
          <w:p>
            <w:pPr>
              <w:spacing w:after="60"/>
            </w:pPr>
            <w:r>
              <w:rPr>
                <w:b/>
                <w:bCs/>
                <w:color w:val="1F4E79"/>
              </w:rPr>
              <w:t xml:space="preserve">For future research</w:t>
            </w:r>
          </w:p>
          <w:p>
            <w:pPr>
              <w:spacing w:after="50" w:line="264"/>
            </w:pPr>
            <w:r>
              <w:t xml:space="preserve">The unexplored frontiers are (1) whether more data narrows the ~72% neutral decision by revealing the adaptive threshold's driver, (2) whether the ride/fight edge holds on equities (same framework, daily/weekly frames), and (3) building a proper exit on the ride-the-tide signal subset, which is where realized P&amp;L — untouched here — would have to be earned. None of these recover the state core; they extend what can be done </w:t>
            </w:r>
            <w:r>
              <w:rPr>
                <w:i/>
                <w:iCs/>
              </w:rPr>
              <w:t xml:space="preserve">around</w:t>
            </w:r>
            <w:r>
              <w:t xml:space="preserve"> it.</w:t>
            </w:r>
          </w:p>
        </w:tc>
      </w:tr>
    </w:tbl>
    <w:p>
      <w:pPr>
        <w:spacing w:before="300"/>
        <w:jc w:val="center"/>
      </w:pPr>
      <w:r>
        <w:rPr>
          <w:i/>
          <w:iCs/>
          <w:color w:val="595959"/>
        </w:rPr>
        <w:t xml:space="preserve">— End of report —</w:t>
      </w:r>
    </w:p>
    <w:sectPr>
      <w:headerReference w:type="default" r:id="rId7"/>
      <w:footerReference w:type="default" r:id="rId8"/>
      <w:pgSz w:w="12240" w:h="15840"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research notes — </w:t>
    </w:r>
    <w:r>
      <w:rPr>
        <w:color w:val="59595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SS360 Signal System —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b/>
      <w:bCs/>
      <w:color w:val="1F4E79"/>
      <w:sz w:val="30"/>
      <w:szCs w:val="30"/>
    </w:rPr>
  </w:style>
  <w:style w:type="paragraph" w:styleId="Heading2">
    <w:name w:val="Heading 2"/>
    <w:basedOn w:val="Normal"/>
    <w:next w:val="Normal"/>
    <w:qFormat/>
    <w:pPr>
      <w:spacing w:after="100" w:before="240"/>
    </w:pPr>
    <w:rPr>
      <w:b/>
      <w:bCs/>
      <w:color w:val="1F4E79"/>
      <w:sz w:val="25"/>
      <w:szCs w:val="25"/>
    </w:rPr>
  </w:style>
  <w:style w:type="paragraph" w:styleId="Heading3">
    <w:name w:val="Heading 3"/>
    <w:basedOn w:val="Normal"/>
    <w:next w:val="Normal"/>
    <w:qFormat/>
    <w:pPr>
      <w:spacing w:after="80" w:before="180"/>
    </w:pPr>
    <w:rPr>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SS360 Signal System — Reverse-Engineering Research Report</dc:title>
  <dc:creator>SS360 Research Project</dc:creator>
  <cp:lastModifiedBy>Un-named</cp:lastModifiedBy>
  <cp:revision>1</cp:revision>
  <dcterms:created xsi:type="dcterms:W3CDTF">2026-07-07T22:15:08.227Z</dcterms:created>
  <dcterms:modified xsi:type="dcterms:W3CDTF">2026-07-07T22:15:08.240Z</dcterms:modified>
</cp:coreProperties>
</file>

<file path=docProps/custom.xml><?xml version="1.0" encoding="utf-8"?>
<Properties xmlns="http://schemas.openxmlformats.org/officeDocument/2006/custom-properties" xmlns:vt="http://schemas.openxmlformats.org/officeDocument/2006/docPropsVTypes"/>
</file>