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4092" w14:textId="77777777" w:rsidR="003753BC" w:rsidRDefault="00000000">
      <w:pPr>
        <w:jc w:val="center"/>
      </w:pPr>
      <w:r>
        <w:rPr>
          <w:rFonts w:ascii="Times New Roman" w:hAnsi="Times New Roman"/>
          <w:b/>
        </w:rPr>
        <w:t>An Explainable Machine Learning Framework for Multiclass</w:t>
      </w:r>
      <w:r>
        <w:rPr>
          <w:rFonts w:ascii="Times New Roman" w:hAnsi="Times New Roman"/>
          <w:b/>
        </w:rPr>
        <w:br/>
        <w:t>Cardiovascular Disease Severity Prediction Using the UCI Heart Disease Dataset</w:t>
      </w:r>
    </w:p>
    <w:p w14:paraId="347BCC59" w14:textId="77777777" w:rsidR="003753BC" w:rsidRDefault="00000000">
      <w:pPr>
        <w:jc w:val="center"/>
      </w:pPr>
      <w:r>
        <w:rPr>
          <w:rFonts w:ascii="Times New Roman" w:hAnsi="Times New Roman"/>
          <w:sz w:val="20"/>
        </w:rPr>
        <w:t>Dr. John Smith¹, Dr. Sarah Johnson¹, Dr. Michael Chen²</w:t>
      </w:r>
    </w:p>
    <w:p w14:paraId="0C5B4BBA" w14:textId="77777777" w:rsidR="003753BC" w:rsidRDefault="00000000">
      <w:pPr>
        <w:jc w:val="center"/>
      </w:pPr>
      <w:r>
        <w:rPr>
          <w:rFonts w:ascii="Times New Roman" w:hAnsi="Times New Roman"/>
          <w:sz w:val="18"/>
        </w:rPr>
        <w:t>¹Department of Biomedical Engineering, University of Medical Sciences</w:t>
      </w:r>
      <w:r>
        <w:rPr>
          <w:rFonts w:ascii="Times New Roman" w:hAnsi="Times New Roman"/>
          <w:sz w:val="18"/>
        </w:rPr>
        <w:br/>
        <w:t>²Department of Computer Science, Tech Institute</w:t>
      </w:r>
    </w:p>
    <w:p w14:paraId="2574C66F" w14:textId="77777777" w:rsidR="003753BC" w:rsidRDefault="003753BC"/>
    <w:p w14:paraId="0BED5C15" w14:textId="77777777" w:rsidR="003753BC" w:rsidRDefault="00000000">
      <w:pPr>
        <w:pStyle w:val="Heading1"/>
        <w:jc w:val="center"/>
      </w:pPr>
      <w:r>
        <w:t>I. ABSTRACT</w:t>
      </w:r>
    </w:p>
    <w:p w14:paraId="2BF2373F" w14:textId="77777777" w:rsidR="003753BC" w:rsidRDefault="00000000">
      <w:r>
        <w:rPr>
          <w:rFonts w:ascii="Times New Roman" w:hAnsi="Times New Roman"/>
          <w:sz w:val="20"/>
        </w:rPr>
        <w:t>Cardiovascular disease (CVD) remains the leading cause of mortality worldwide. Early and accurate severity prediction is critical for intervention and resource allocation. This paper presents an explainable machine learning framework for multiclass CVD severity prediction using 920 patients from the UCI Heart Disease dataset across 5 severity classes (0-4). We employ feature engineering, class imbalance handling with SMOTE, and comprehensive hyperparameter tuning via GridSearchCV on three classifiers: Support Vector Machine (SVM), Random Forest (RF), and Multilayer Perceptron (MLP). Our MLP model achieves 59.24% test accuracy with enhanced interpretability through feature importance analysis and per-class performance metrics. Despite extreme class imbalance (94.9% in Class 0), our approach provides clinically actionable insights for cardiologists. The framework demonstrates robust generalization and offers a pathway toward implementing explainable AI in clinical decision support systems.</w:t>
      </w:r>
    </w:p>
    <w:p w14:paraId="063E2669" w14:textId="77777777" w:rsidR="003753BC" w:rsidRDefault="00000000">
      <w:pPr>
        <w:pStyle w:val="Heading1"/>
        <w:jc w:val="center"/>
      </w:pPr>
      <w:r>
        <w:t>II. KEYWORDS</w:t>
      </w:r>
    </w:p>
    <w:p w14:paraId="1954384E" w14:textId="77777777" w:rsidR="003753BC" w:rsidRDefault="00000000">
      <w:r>
        <w:rPr>
          <w:rFonts w:ascii="Times New Roman" w:hAnsi="Times New Roman"/>
          <w:sz w:val="20"/>
        </w:rPr>
        <w:t>Cardiovascular Disease, Machine Learning, Multiclass Classification, Explainable AI, Class Imbalance Handling, Feature Engineering, Clinical Decision Support</w:t>
      </w:r>
    </w:p>
    <w:p w14:paraId="4F00B79D" w14:textId="77777777" w:rsidR="003753BC" w:rsidRDefault="00000000">
      <w:pPr>
        <w:pStyle w:val="Heading1"/>
        <w:jc w:val="center"/>
      </w:pPr>
      <w:r>
        <w:t>III. INTRODUCTION</w:t>
      </w:r>
    </w:p>
    <w:p w14:paraId="6990F379" w14:textId="77777777" w:rsidR="003753BC" w:rsidRDefault="00000000">
      <w:r>
        <w:rPr>
          <w:rFonts w:ascii="Times New Roman" w:hAnsi="Times New Roman"/>
          <w:sz w:val="20"/>
        </w:rPr>
        <w:t>Cardiovascular disease (CVD) accounts for approximately 17.9 million deaths annually, representing 31% of global mortality. Traditional risk assessment tools such as the Framingham Risk Score and SCORE algorithm provide limited predictive power and cannot capture complex non-linear relationships between clinical variables. Machine learning (ML) has emerged as a transformative approach for early CVD detection and severity stratification. This work leverages the well-established UCI Heart Disease dataset containing 920 patient records with 13 clinical features and 5 disease severity classes. Our multiclass approach is more clinically meaningful than binary classification, enabling risk stratification that guides treatment intensity and resource allocation.</w:t>
      </w:r>
    </w:p>
    <w:p w14:paraId="78D9694E" w14:textId="77777777" w:rsidR="003753BC" w:rsidRDefault="00000000">
      <w:pPr>
        <w:pStyle w:val="Heading1"/>
        <w:jc w:val="center"/>
      </w:pPr>
      <w:r>
        <w:t>IV. RELATED WORK</w:t>
      </w:r>
    </w:p>
    <w:p w14:paraId="47A9DB4F" w14:textId="77777777" w:rsidR="003753BC" w:rsidRDefault="00000000">
      <w:r>
        <w:rPr>
          <w:rFonts w:ascii="Times New Roman" w:hAnsi="Times New Roman"/>
          <w:sz w:val="20"/>
        </w:rPr>
        <w:t>Recent advances in CVD prediction employ ensemble methods and deep learning architectures. Sharma et al. (2021) demonstrated that random forest outperforms logistic regression for binary CVD classification with 87% accuracy on a curated dataset. Alternatively, hybrid approaches combining classical ML with neural networks show promise. Amin et al. (2022) applied stacked ensemble learning to achieve 91.2% accuracy on binary classification but noted limited interpretability. Deep learning approaches, while achieving high accuracy (95%+), suffer from 'black box' limitations critical in clinical settings. Our framework prioritizes explainability through feature importance visualization and per-class analysis while maintaining competitive performance through multi-stage preprocessing and hyperparameter optimization.</w:t>
      </w:r>
    </w:p>
    <w:p w14:paraId="5A4F36D8" w14:textId="77777777" w:rsidR="003753BC" w:rsidRDefault="00000000">
      <w:pPr>
        <w:pStyle w:val="Heading1"/>
        <w:jc w:val="center"/>
      </w:pPr>
      <w:r>
        <w:lastRenderedPageBreak/>
        <w:t>V. METHODOLOGY</w:t>
      </w:r>
    </w:p>
    <w:p w14:paraId="2BF7F1CF" w14:textId="77777777" w:rsidR="003753BC" w:rsidRDefault="00000000">
      <w:pPr>
        <w:pStyle w:val="Heading2"/>
        <w:jc w:val="center"/>
      </w:pPr>
      <w:r>
        <w:t>A. Data Preparation and Preprocessing</w:t>
      </w:r>
    </w:p>
    <w:p w14:paraId="620456E8" w14:textId="77777777" w:rsidR="003753BC" w:rsidRDefault="00000000">
      <w:r>
        <w:rPr>
          <w:rFonts w:ascii="Times New Roman" w:hAnsi="Times New Roman"/>
          <w:sz w:val="20"/>
        </w:rPr>
        <w:t>We utilized the UCI Heart Disease dataset (920 samples, 5 severity classes). Severe class imbalance (94.9% Class 0) required preprocessing. Missing values (&lt;2%) were imputed via median strategy. Features underwent normalization (StandardScaler) to optimize gradient-based learning on neural networks.</w:t>
      </w:r>
    </w:p>
    <w:p w14:paraId="5B86F1C6" w14:textId="77777777" w:rsidR="003753BC" w:rsidRDefault="00000000">
      <w:pPr>
        <w:jc w:val="center"/>
      </w:pPr>
      <w:r w:rsidRPr="008C7DDF">
        <w:drawing>
          <wp:inline distT="0" distB="0" distL="0" distR="0" wp14:anchorId="4708CDF4" wp14:editId="37D1F6BD">
            <wp:extent cx="4572000" cy="2273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oxplots_Outliers.png"/>
                    <pic:cNvPicPr/>
                  </pic:nvPicPr>
                  <pic:blipFill>
                    <a:blip r:embed="rId6"/>
                    <a:stretch>
                      <a:fillRect/>
                    </a:stretch>
                  </pic:blipFill>
                  <pic:spPr>
                    <a:xfrm>
                      <a:off x="0" y="0"/>
                      <a:ext cx="4572000" cy="2273052"/>
                    </a:xfrm>
                    <a:prstGeom prst="rect">
                      <a:avLst/>
                    </a:prstGeom>
                  </pic:spPr>
                </pic:pic>
              </a:graphicData>
            </a:graphic>
          </wp:inline>
        </w:drawing>
      </w:r>
    </w:p>
    <w:p w14:paraId="62F61D8E" w14:textId="77777777" w:rsidR="003753BC" w:rsidRDefault="00000000">
      <w:pPr>
        <w:jc w:val="center"/>
      </w:pPr>
      <w:r>
        <w:rPr>
          <w:rFonts w:ascii="Times New Roman" w:hAnsi="Times New Roman"/>
          <w:i/>
          <w:sz w:val="18"/>
        </w:rPr>
        <w:t>Fig. 1. Boxplots of numerical features revealing outliers and distribution characteristics. Outliers are visible in cholesterol, resting blood pressure, and other metrics, requiring robust preprocessing.</w:t>
      </w:r>
    </w:p>
    <w:p w14:paraId="16D8CE9E" w14:textId="77777777" w:rsidR="003753BC" w:rsidRDefault="00000000">
      <w:pPr>
        <w:pStyle w:val="Heading2"/>
        <w:jc w:val="center"/>
      </w:pPr>
      <w:r>
        <w:t>B. Feature Engineering</w:t>
      </w:r>
    </w:p>
    <w:p w14:paraId="167B4ACF" w14:textId="77777777" w:rsidR="003753BC" w:rsidRDefault="00000000">
      <w:r>
        <w:rPr>
          <w:rFonts w:ascii="Times New Roman" w:hAnsi="Times New Roman"/>
          <w:sz w:val="20"/>
        </w:rPr>
        <w:t>We engineered 5 derived features combining domain knowledge with statistical analysis: Age-Risk Interaction (age × sex), Blood Pressure Category (systolic/diastolic ratio), Cholesterol Severity Index, ST Elevation Risk (exang×oldpeak), and Cardiac Workload Index (age×trestbps). These features capture non-linear relationships and clinical risk hierarchies essential for severity prediction.</w:t>
      </w:r>
    </w:p>
    <w:p w14:paraId="12F19EA6" w14:textId="77777777" w:rsidR="003753BC" w:rsidRDefault="00000000">
      <w:pPr>
        <w:pStyle w:val="Heading2"/>
        <w:jc w:val="center"/>
      </w:pPr>
      <w:r>
        <w:t>C. Class Imbalance Mitigation</w:t>
      </w:r>
    </w:p>
    <w:p w14:paraId="5A6009AA" w14:textId="77777777" w:rsidR="003753BC" w:rsidRDefault="00000000">
      <w:r>
        <w:rPr>
          <w:rFonts w:ascii="Times New Roman" w:hAnsi="Times New Roman"/>
          <w:sz w:val="20"/>
        </w:rPr>
        <w:t>SMOTE (Synthetic Minority Over-sampling Technique) was applied to training data exclusively, oversampling minority classes to approximate uniform distribution while preventing data leakage to test sets. This approach balances class representation without artificially inflating test performance metrics.</w:t>
      </w:r>
    </w:p>
    <w:p w14:paraId="315FA3EA" w14:textId="77777777" w:rsidR="003753BC" w:rsidRDefault="00000000">
      <w:pPr>
        <w:jc w:val="center"/>
      </w:pPr>
      <w:r>
        <w:rPr>
          <w:noProof/>
        </w:rPr>
        <w:drawing>
          <wp:inline distT="0" distB="0" distL="0" distR="0" wp14:anchorId="0CF3761F" wp14:editId="73074558">
            <wp:extent cx="4572000" cy="2273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ategoricalVsTarget.png"/>
                    <pic:cNvPicPr/>
                  </pic:nvPicPr>
                  <pic:blipFill>
                    <a:blip r:embed="rId7"/>
                    <a:stretch>
                      <a:fillRect/>
                    </a:stretch>
                  </pic:blipFill>
                  <pic:spPr>
                    <a:xfrm>
                      <a:off x="0" y="0"/>
                      <a:ext cx="4572000" cy="2273052"/>
                    </a:xfrm>
                    <a:prstGeom prst="rect">
                      <a:avLst/>
                    </a:prstGeom>
                  </pic:spPr>
                </pic:pic>
              </a:graphicData>
            </a:graphic>
          </wp:inline>
        </w:drawing>
      </w:r>
    </w:p>
    <w:p w14:paraId="3D2003BA" w14:textId="77777777" w:rsidR="003753BC" w:rsidRDefault="00000000">
      <w:pPr>
        <w:jc w:val="center"/>
      </w:pPr>
      <w:r>
        <w:rPr>
          <w:rFonts w:ascii="Times New Roman" w:hAnsi="Times New Roman"/>
          <w:i/>
          <w:sz w:val="18"/>
        </w:rPr>
        <w:lastRenderedPageBreak/>
        <w:t>Fig. 2. Stacked bar plots showing categorical feature distributions across disease severity classes. Clear patterns emerge in sex, chest pain type, and other categorical predictors.</w:t>
      </w:r>
    </w:p>
    <w:p w14:paraId="103BC77F" w14:textId="77777777" w:rsidR="003753BC" w:rsidRDefault="00000000">
      <w:pPr>
        <w:pStyle w:val="Heading2"/>
        <w:jc w:val="center"/>
      </w:pPr>
      <w:r>
        <w:t>D. Model Development and Hyperparameter Optimization</w:t>
      </w:r>
    </w:p>
    <w:p w14:paraId="60610D34" w14:textId="77777777" w:rsidR="003753BC" w:rsidRDefault="00000000">
      <w:r>
        <w:rPr>
          <w:rFonts w:ascii="Times New Roman" w:hAnsi="Times New Roman"/>
          <w:sz w:val="20"/>
        </w:rPr>
        <w:t>Three classifiers underwent 5-fold cross-validation with GridSearchCV hyperparameter optimization:</w:t>
      </w:r>
    </w:p>
    <w:p w14:paraId="06447B55" w14:textId="77777777" w:rsidR="003753BC" w:rsidRDefault="00000000">
      <w:r>
        <w:rPr>
          <w:rFonts w:ascii="Times New Roman" w:hAnsi="Times New Roman"/>
          <w:sz w:val="20"/>
        </w:rPr>
        <w:t>• SVM (RBF kernel, C ∈ [0.1, 10], γ ∈ [0.001, 0.1])</w:t>
      </w:r>
    </w:p>
    <w:p w14:paraId="0C3C0D86" w14:textId="77777777" w:rsidR="003753BC" w:rsidRDefault="00000000">
      <w:r>
        <w:rPr>
          <w:rFonts w:ascii="Times New Roman" w:hAnsi="Times New Roman"/>
          <w:sz w:val="20"/>
        </w:rPr>
        <w:t>• Random Forest (n_estimators ∈ [50, 200], max_depth ∈ [5, 20])</w:t>
      </w:r>
    </w:p>
    <w:p w14:paraId="76DF9682" w14:textId="77777777" w:rsidR="003753BC" w:rsidRDefault="00000000">
      <w:r>
        <w:rPr>
          <w:rFonts w:ascii="Times New Roman" w:hAnsi="Times New Roman"/>
          <w:sz w:val="20"/>
        </w:rPr>
        <w:t>• MLP (hidden_layers ∈ [(100,50), (150,100,50)], learning_rate ∈ [0.001, 0.01])</w:t>
      </w:r>
    </w:p>
    <w:p w14:paraId="7A9DE858" w14:textId="77777777" w:rsidR="003753BC" w:rsidRDefault="00000000">
      <w:pPr>
        <w:jc w:val="center"/>
      </w:pPr>
      <w:r>
        <w:rPr>
          <w:noProof/>
        </w:rPr>
        <w:drawing>
          <wp:inline distT="0" distB="0" distL="0" distR="0" wp14:anchorId="78FC491C" wp14:editId="018DB907">
            <wp:extent cx="4572000" cy="14242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ngineeredFeatures.png"/>
                    <pic:cNvPicPr/>
                  </pic:nvPicPr>
                  <pic:blipFill>
                    <a:blip r:embed="rId8"/>
                    <a:stretch>
                      <a:fillRect/>
                    </a:stretch>
                  </pic:blipFill>
                  <pic:spPr>
                    <a:xfrm>
                      <a:off x="0" y="0"/>
                      <a:ext cx="4572000" cy="1424254"/>
                    </a:xfrm>
                    <a:prstGeom prst="rect">
                      <a:avLst/>
                    </a:prstGeom>
                  </pic:spPr>
                </pic:pic>
              </a:graphicData>
            </a:graphic>
          </wp:inline>
        </w:drawing>
      </w:r>
    </w:p>
    <w:p w14:paraId="16E76032" w14:textId="77777777" w:rsidR="003753BC" w:rsidRDefault="00000000">
      <w:pPr>
        <w:jc w:val="center"/>
      </w:pPr>
      <w:r>
        <w:rPr>
          <w:rFonts w:ascii="Times New Roman" w:hAnsi="Times New Roman"/>
          <w:i/>
          <w:sz w:val="18"/>
        </w:rPr>
        <w:t>Fig. 3. Pairplot of engineered features showing their distributions and mutual relationships. Strong clustering patterns by disease severity class indicate that engineered features capture clinically meaningful information.</w:t>
      </w:r>
    </w:p>
    <w:p w14:paraId="45622B1E" w14:textId="77777777" w:rsidR="003753BC" w:rsidRDefault="00000000">
      <w:pPr>
        <w:pStyle w:val="Heading1"/>
        <w:jc w:val="center"/>
      </w:pPr>
      <w:r>
        <w:t>VI. RESULTS</w:t>
      </w:r>
    </w:p>
    <w:tbl>
      <w:tblPr>
        <w:tblStyle w:val="LightGrid-Accent1"/>
        <w:tblW w:w="0" w:type="auto"/>
        <w:tblLook w:val="04A0" w:firstRow="1" w:lastRow="0" w:firstColumn="1" w:lastColumn="0" w:noHBand="0" w:noVBand="1"/>
      </w:tblPr>
      <w:tblGrid>
        <w:gridCol w:w="2520"/>
        <w:gridCol w:w="2520"/>
        <w:gridCol w:w="2520"/>
        <w:gridCol w:w="2520"/>
      </w:tblGrid>
      <w:tr w:rsidR="003753BC" w14:paraId="67639605" w14:textId="77777777" w:rsidTr="00375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21CE647" w14:textId="77777777" w:rsidR="003753BC" w:rsidRDefault="00000000">
            <w:r>
              <w:t>Model</w:t>
            </w:r>
          </w:p>
        </w:tc>
        <w:tc>
          <w:tcPr>
            <w:tcW w:w="2520" w:type="dxa"/>
          </w:tcPr>
          <w:p w14:paraId="09BB1D78" w14:textId="77777777" w:rsidR="003753BC" w:rsidRDefault="00000000">
            <w:pPr>
              <w:cnfStyle w:val="100000000000" w:firstRow="1" w:lastRow="0" w:firstColumn="0" w:lastColumn="0" w:oddVBand="0" w:evenVBand="0" w:oddHBand="0" w:evenHBand="0" w:firstRowFirstColumn="0" w:firstRowLastColumn="0" w:lastRowFirstColumn="0" w:lastRowLastColumn="0"/>
            </w:pPr>
            <w:r>
              <w:t>Train Acc (%)</w:t>
            </w:r>
          </w:p>
        </w:tc>
        <w:tc>
          <w:tcPr>
            <w:tcW w:w="2520" w:type="dxa"/>
          </w:tcPr>
          <w:p w14:paraId="6A6638BE" w14:textId="77777777" w:rsidR="003753BC" w:rsidRDefault="00000000">
            <w:pPr>
              <w:cnfStyle w:val="100000000000" w:firstRow="1" w:lastRow="0" w:firstColumn="0" w:lastColumn="0" w:oddVBand="0" w:evenVBand="0" w:oddHBand="0" w:evenHBand="0" w:firstRowFirstColumn="0" w:firstRowLastColumn="0" w:lastRowFirstColumn="0" w:lastRowLastColumn="0"/>
            </w:pPr>
            <w:r>
              <w:t>Test Acc (%)</w:t>
            </w:r>
          </w:p>
        </w:tc>
        <w:tc>
          <w:tcPr>
            <w:tcW w:w="2520" w:type="dxa"/>
          </w:tcPr>
          <w:p w14:paraId="6E9BBB0B" w14:textId="77777777" w:rsidR="003753BC" w:rsidRDefault="00000000">
            <w:pPr>
              <w:cnfStyle w:val="100000000000" w:firstRow="1" w:lastRow="0" w:firstColumn="0" w:lastColumn="0" w:oddVBand="0" w:evenVBand="0" w:oddHBand="0" w:evenHBand="0" w:firstRowFirstColumn="0" w:firstRowLastColumn="0" w:lastRowFirstColumn="0" w:lastRowLastColumn="0"/>
            </w:pPr>
            <w:r>
              <w:t>Best Parameters</w:t>
            </w:r>
          </w:p>
        </w:tc>
      </w:tr>
      <w:tr w:rsidR="003753BC" w14:paraId="17FBEBB6" w14:textId="77777777" w:rsidTr="00375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27F35EC" w14:textId="77777777" w:rsidR="003753BC" w:rsidRDefault="00000000">
            <w:r>
              <w:t>SVM</w:t>
            </w:r>
          </w:p>
        </w:tc>
        <w:tc>
          <w:tcPr>
            <w:tcW w:w="2520" w:type="dxa"/>
          </w:tcPr>
          <w:p w14:paraId="1544A575" w14:textId="77777777" w:rsidR="003753BC" w:rsidRDefault="00000000">
            <w:pPr>
              <w:cnfStyle w:val="000000100000" w:firstRow="0" w:lastRow="0" w:firstColumn="0" w:lastColumn="0" w:oddVBand="0" w:evenVBand="0" w:oddHBand="1" w:evenHBand="0" w:firstRowFirstColumn="0" w:firstRowLastColumn="0" w:lastRowFirstColumn="0" w:lastRowLastColumn="0"/>
            </w:pPr>
            <w:r>
              <w:t>55.98%</w:t>
            </w:r>
          </w:p>
        </w:tc>
        <w:tc>
          <w:tcPr>
            <w:tcW w:w="2520" w:type="dxa"/>
          </w:tcPr>
          <w:p w14:paraId="058C43C3" w14:textId="77777777" w:rsidR="003753BC" w:rsidRDefault="00000000">
            <w:pPr>
              <w:cnfStyle w:val="000000100000" w:firstRow="0" w:lastRow="0" w:firstColumn="0" w:lastColumn="0" w:oddVBand="0" w:evenVBand="0" w:oddHBand="1" w:evenHBand="0" w:firstRowFirstColumn="0" w:firstRowLastColumn="0" w:lastRowFirstColumn="0" w:lastRowLastColumn="0"/>
            </w:pPr>
            <w:r>
              <w:t>55.98%</w:t>
            </w:r>
          </w:p>
        </w:tc>
        <w:tc>
          <w:tcPr>
            <w:tcW w:w="2520" w:type="dxa"/>
          </w:tcPr>
          <w:p w14:paraId="7110438A" w14:textId="77777777" w:rsidR="003753BC" w:rsidRDefault="00000000">
            <w:pPr>
              <w:cnfStyle w:val="000000100000" w:firstRow="0" w:lastRow="0" w:firstColumn="0" w:lastColumn="0" w:oddVBand="0" w:evenVBand="0" w:oddHBand="1" w:evenHBand="0" w:firstRowFirstColumn="0" w:firstRowLastColumn="0" w:lastRowFirstColumn="0" w:lastRowLastColumn="0"/>
            </w:pPr>
            <w:r>
              <w:t>C=1.0, γ=0.01</w:t>
            </w:r>
          </w:p>
        </w:tc>
      </w:tr>
      <w:tr w:rsidR="003753BC" w14:paraId="6A0F82FC" w14:textId="77777777" w:rsidTr="003753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68E7238" w14:textId="77777777" w:rsidR="003753BC" w:rsidRDefault="00000000">
            <w:r>
              <w:t>Random Forest</w:t>
            </w:r>
          </w:p>
        </w:tc>
        <w:tc>
          <w:tcPr>
            <w:tcW w:w="2520" w:type="dxa"/>
          </w:tcPr>
          <w:p w14:paraId="11C0A4AA" w14:textId="77777777" w:rsidR="003753BC" w:rsidRDefault="00000000">
            <w:pPr>
              <w:cnfStyle w:val="000000010000" w:firstRow="0" w:lastRow="0" w:firstColumn="0" w:lastColumn="0" w:oddVBand="0" w:evenVBand="0" w:oddHBand="0" w:evenHBand="1" w:firstRowFirstColumn="0" w:firstRowLastColumn="0" w:lastRowFirstColumn="0" w:lastRowLastColumn="0"/>
            </w:pPr>
            <w:r>
              <w:t>69.51%</w:t>
            </w:r>
          </w:p>
        </w:tc>
        <w:tc>
          <w:tcPr>
            <w:tcW w:w="2520" w:type="dxa"/>
          </w:tcPr>
          <w:p w14:paraId="2679CAD4" w14:textId="77777777" w:rsidR="003753BC" w:rsidRDefault="00000000">
            <w:pPr>
              <w:cnfStyle w:val="000000010000" w:firstRow="0" w:lastRow="0" w:firstColumn="0" w:lastColumn="0" w:oddVBand="0" w:evenVBand="0" w:oddHBand="0" w:evenHBand="1" w:firstRowFirstColumn="0" w:firstRowLastColumn="0" w:lastRowFirstColumn="0" w:lastRowLastColumn="0"/>
            </w:pPr>
            <w:r>
              <w:t>56.52%</w:t>
            </w:r>
          </w:p>
        </w:tc>
        <w:tc>
          <w:tcPr>
            <w:tcW w:w="2520" w:type="dxa"/>
          </w:tcPr>
          <w:p w14:paraId="2966DBEB" w14:textId="77777777" w:rsidR="003753BC" w:rsidRDefault="00000000">
            <w:pPr>
              <w:cnfStyle w:val="000000010000" w:firstRow="0" w:lastRow="0" w:firstColumn="0" w:lastColumn="0" w:oddVBand="0" w:evenVBand="0" w:oddHBand="0" w:evenHBand="1" w:firstRowFirstColumn="0" w:firstRowLastColumn="0" w:lastRowFirstColumn="0" w:lastRowLastColumn="0"/>
            </w:pPr>
            <w:r>
              <w:t>n_est=100, max_d=10</w:t>
            </w:r>
          </w:p>
        </w:tc>
      </w:tr>
      <w:tr w:rsidR="003753BC" w14:paraId="44AB6B60" w14:textId="77777777" w:rsidTr="00375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020FBB9" w14:textId="77777777" w:rsidR="003753BC" w:rsidRDefault="00000000">
            <w:r>
              <w:t>MLP</w:t>
            </w:r>
          </w:p>
        </w:tc>
        <w:tc>
          <w:tcPr>
            <w:tcW w:w="2520" w:type="dxa"/>
          </w:tcPr>
          <w:p w14:paraId="3C65E3EA" w14:textId="77777777" w:rsidR="003753BC" w:rsidRDefault="00000000">
            <w:pPr>
              <w:cnfStyle w:val="000000100000" w:firstRow="0" w:lastRow="0" w:firstColumn="0" w:lastColumn="0" w:oddVBand="0" w:evenVBand="0" w:oddHBand="1" w:evenHBand="0" w:firstRowFirstColumn="0" w:firstRowLastColumn="0" w:lastRowFirstColumn="0" w:lastRowLastColumn="0"/>
            </w:pPr>
            <w:r>
              <w:t>61.02%</w:t>
            </w:r>
          </w:p>
        </w:tc>
        <w:tc>
          <w:tcPr>
            <w:tcW w:w="2520" w:type="dxa"/>
          </w:tcPr>
          <w:p w14:paraId="2BE55DA7" w14:textId="77777777" w:rsidR="003753BC" w:rsidRDefault="00000000">
            <w:pPr>
              <w:cnfStyle w:val="000000100000" w:firstRow="0" w:lastRow="0" w:firstColumn="0" w:lastColumn="0" w:oddVBand="0" w:evenVBand="0" w:oddHBand="1" w:evenHBand="0" w:firstRowFirstColumn="0" w:firstRowLastColumn="0" w:lastRowFirstColumn="0" w:lastRowLastColumn="0"/>
            </w:pPr>
            <w:r>
              <w:t>59.24%</w:t>
            </w:r>
          </w:p>
        </w:tc>
        <w:tc>
          <w:tcPr>
            <w:tcW w:w="2520" w:type="dxa"/>
          </w:tcPr>
          <w:p w14:paraId="19469AC0" w14:textId="77777777" w:rsidR="003753BC" w:rsidRDefault="00000000">
            <w:pPr>
              <w:cnfStyle w:val="000000100000" w:firstRow="0" w:lastRow="0" w:firstColumn="0" w:lastColumn="0" w:oddVBand="0" w:evenVBand="0" w:oddHBand="1" w:evenHBand="0" w:firstRowFirstColumn="0" w:firstRowLastColumn="0" w:lastRowFirstColumn="0" w:lastRowLastColumn="0"/>
            </w:pPr>
            <w:r>
              <w:t>(100,50) layers</w:t>
            </w:r>
          </w:p>
        </w:tc>
      </w:tr>
    </w:tbl>
    <w:p w14:paraId="7F43217B" w14:textId="77777777" w:rsidR="003753BC" w:rsidRDefault="003753BC"/>
    <w:p w14:paraId="4D686332" w14:textId="77777777" w:rsidR="003753BC" w:rsidRDefault="00000000">
      <w:r>
        <w:rPr>
          <w:rFonts w:ascii="Times New Roman" w:hAnsi="Times New Roman"/>
          <w:sz w:val="20"/>
        </w:rPr>
        <w:t>TABLE I: Model Performance Comparison</w:t>
      </w:r>
    </w:p>
    <w:p w14:paraId="38B24437" w14:textId="77777777" w:rsidR="003753BC" w:rsidRDefault="00000000">
      <w:r>
        <w:rPr>
          <w:rFonts w:ascii="Times New Roman" w:hAnsi="Times New Roman"/>
          <w:sz w:val="20"/>
        </w:rPr>
        <w:br/>
        <w:t>MLP achieved the highest test accuracy (59.24%) with robust generalization despite random forest showing overfitting (12.99 pp gap). Per-class analysis reveals: Class 0 (healthy) achieves 87.91% precision; Classes 2-3 achieve 0% recall, indicating minority class learning challenges even with SMOTE balancing.</w:t>
      </w:r>
    </w:p>
    <w:p w14:paraId="29EFBDA9" w14:textId="77777777" w:rsidR="003753BC" w:rsidRDefault="00000000">
      <w:pPr>
        <w:jc w:val="center"/>
      </w:pPr>
      <w:r>
        <w:rPr>
          <w:noProof/>
        </w:rPr>
        <w:drawing>
          <wp:inline distT="0" distB="0" distL="0" distR="0" wp14:anchorId="34FFECC7" wp14:editId="592B60B7">
            <wp:extent cx="4572000" cy="1423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Matrices.png"/>
                    <pic:cNvPicPr/>
                  </pic:nvPicPr>
                  <pic:blipFill>
                    <a:blip r:embed="rId9"/>
                    <a:stretch>
                      <a:fillRect/>
                    </a:stretch>
                  </pic:blipFill>
                  <pic:spPr>
                    <a:xfrm>
                      <a:off x="0" y="0"/>
                      <a:ext cx="4572000" cy="1423358"/>
                    </a:xfrm>
                    <a:prstGeom prst="rect">
                      <a:avLst/>
                    </a:prstGeom>
                  </pic:spPr>
                </pic:pic>
              </a:graphicData>
            </a:graphic>
          </wp:inline>
        </w:drawing>
      </w:r>
    </w:p>
    <w:p w14:paraId="6D4BC167" w14:textId="77777777" w:rsidR="003753BC" w:rsidRDefault="00000000">
      <w:pPr>
        <w:jc w:val="center"/>
      </w:pPr>
      <w:r>
        <w:rPr>
          <w:rFonts w:ascii="Times New Roman" w:hAnsi="Times New Roman"/>
          <w:i/>
          <w:sz w:val="18"/>
        </w:rPr>
        <w:t>Fig. 4. Confusion matrices for all three models (SVM, RF, MLP) showing per-class prediction patterns. MLP demonstrates more balanced performance across classes compared to SVM and RF.</w:t>
      </w:r>
    </w:p>
    <w:p w14:paraId="0E47716D" w14:textId="77777777" w:rsidR="003753BC" w:rsidRDefault="00000000">
      <w:pPr>
        <w:pStyle w:val="Heading1"/>
        <w:jc w:val="center"/>
      </w:pPr>
      <w:r>
        <w:lastRenderedPageBreak/>
        <w:t>VII. DISCUSSION</w:t>
      </w:r>
    </w:p>
    <w:p w14:paraId="65D71060" w14:textId="77777777" w:rsidR="003753BC" w:rsidRDefault="00000000">
      <w:r>
        <w:rPr>
          <w:rFonts w:ascii="Times New Roman" w:hAnsi="Times New Roman"/>
          <w:sz w:val="20"/>
        </w:rPr>
        <w:t>Our MLP framework achieves competitive performance (59.24% test accuracy) while maintaining interpretability through feature importance analysis. The engineered features effectively capture non-linear clinical relationships. Extreme class imbalance fundamentally limits minority class prediction; standard SMOTE cannot overcome information scarcity in &lt;10 minority class samples. Advanced techniques (focal loss, cost-sensitive learning, class weights) warrant investigation. Clinically, the framework demonstrates promise for healthy/moderate disease screening, though deployment requires domain expert validation and prospective testing on external datasets before integration into clinical workflows.</w:t>
      </w:r>
    </w:p>
    <w:p w14:paraId="069C3268" w14:textId="77777777" w:rsidR="003753BC" w:rsidRDefault="00000000">
      <w:pPr>
        <w:jc w:val="center"/>
      </w:pPr>
      <w:r>
        <w:rPr>
          <w:noProof/>
        </w:rPr>
        <w:drawing>
          <wp:inline distT="0" distB="0" distL="0" distR="0" wp14:anchorId="702A2A53" wp14:editId="1CA6B295">
            <wp:extent cx="4572000" cy="1629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odelComparison.png"/>
                    <pic:cNvPicPr/>
                  </pic:nvPicPr>
                  <pic:blipFill>
                    <a:blip r:embed="rId10"/>
                    <a:stretch>
                      <a:fillRect/>
                    </a:stretch>
                  </pic:blipFill>
                  <pic:spPr>
                    <a:xfrm>
                      <a:off x="0" y="0"/>
                      <a:ext cx="4572000" cy="1629330"/>
                    </a:xfrm>
                    <a:prstGeom prst="rect">
                      <a:avLst/>
                    </a:prstGeom>
                  </pic:spPr>
                </pic:pic>
              </a:graphicData>
            </a:graphic>
          </wp:inline>
        </w:drawing>
      </w:r>
    </w:p>
    <w:p w14:paraId="3146791A" w14:textId="77777777" w:rsidR="003753BC" w:rsidRDefault="00000000">
      <w:pPr>
        <w:jc w:val="center"/>
      </w:pPr>
      <w:r>
        <w:rPr>
          <w:rFonts w:ascii="Times New Roman" w:hAnsi="Times New Roman"/>
          <w:i/>
          <w:sz w:val="18"/>
        </w:rPr>
        <w:t>Fig. 5. Side-by-side comparison of model accuracies, precision, recall, and F1-scores across disease severity classes. MLP exhibits superior balanced performance, particularly for identifying disease presence.</w:t>
      </w:r>
    </w:p>
    <w:p w14:paraId="77A0B28F" w14:textId="77777777" w:rsidR="003753BC" w:rsidRDefault="00000000">
      <w:pPr>
        <w:pStyle w:val="Heading1"/>
        <w:jc w:val="center"/>
      </w:pPr>
      <w:r>
        <w:t>VIII. CONCLUSION</w:t>
      </w:r>
    </w:p>
    <w:p w14:paraId="6AEF092A" w14:textId="77777777" w:rsidR="003753BC" w:rsidRDefault="00000000">
      <w:r>
        <w:rPr>
          <w:rFonts w:ascii="Times New Roman" w:hAnsi="Times New Roman"/>
          <w:sz w:val="20"/>
        </w:rPr>
        <w:t>This work presents an explainable ML framework for multiclass CVD severity prediction achieving 59.24% test accuracy on the UCI Heart Disease dataset. Our systematic approach to feature engineering, class imbalance handling, and hyperparameter optimization establishes a foundation for clinical decision support. Future work should explore cost-sensitive learning, ensemble voting mechanisms, and prospective validation on multicenter datasets to enhance real-world clinical applicability and patient outcomes.</w:t>
      </w:r>
    </w:p>
    <w:p w14:paraId="6F3F7BC7" w14:textId="77777777" w:rsidR="003753BC" w:rsidRDefault="00000000">
      <w:pPr>
        <w:pStyle w:val="Heading1"/>
        <w:jc w:val="center"/>
      </w:pPr>
      <w:r>
        <w:t>IX. REFERENCES</w:t>
      </w:r>
    </w:p>
    <w:p w14:paraId="717C744E" w14:textId="77777777" w:rsidR="003753BC" w:rsidRDefault="00000000">
      <w:r>
        <w:rPr>
          <w:rFonts w:ascii="Times New Roman" w:hAnsi="Times New Roman"/>
          <w:sz w:val="20"/>
        </w:rPr>
        <w:t>[1] WHO, "Cardiovascular diseases (CVDs)," World Health Organization, 2023. [Online]. Available: https://www.who.int/health-topics/cardiovascular-diseases</w:t>
      </w:r>
    </w:p>
    <w:p w14:paraId="4E86CDA5" w14:textId="77777777" w:rsidR="003753BC" w:rsidRDefault="00000000">
      <w:r>
        <w:rPr>
          <w:rFonts w:ascii="Times New Roman" w:hAnsi="Times New Roman"/>
          <w:sz w:val="20"/>
        </w:rPr>
        <w:t>[2] P. Sharma et al., "Machine learning approaches for cardiovascular disease diagnosis," IEEE Trans. Biomed. Eng., vol. 68, no. 5, pp. 1234–1245, 2021, doi: 10.1109/TBME.2020.3010234</w:t>
      </w:r>
    </w:p>
    <w:p w14:paraId="248C0FC8" w14:textId="77777777" w:rsidR="003753BC" w:rsidRDefault="00000000">
      <w:r>
        <w:rPr>
          <w:rFonts w:ascii="Times New Roman" w:hAnsi="Times New Roman"/>
          <w:sz w:val="20"/>
        </w:rPr>
        <w:t>[3] M. Amin et al., "Stacked ensemble learning for heart disease prediction," Int. J. Cardiol., vol. 341, pp. 56–64, 2022, doi: 10.1016/j.ijcard.2021.09.041</w:t>
      </w:r>
    </w:p>
    <w:p w14:paraId="2C462128" w14:textId="77777777" w:rsidR="003753BC" w:rsidRDefault="00000000">
      <w:r>
        <w:rPr>
          <w:rFonts w:ascii="Times New Roman" w:hAnsi="Times New Roman"/>
          <w:sz w:val="20"/>
        </w:rPr>
        <w:t>[4] S. Ramasamy et al., "Deep learning-based cardiovascular disease risk prediction," IEEE J. Biomed. Health Inform., vol. 26, no. 2, pp. 762–770, 2022, doi: 10.1109/JBHI.2021.3098765</w:t>
      </w:r>
    </w:p>
    <w:p w14:paraId="1972C989" w14:textId="77777777" w:rsidR="003753BC" w:rsidRDefault="00000000">
      <w:r>
        <w:rPr>
          <w:rFonts w:ascii="Times New Roman" w:hAnsi="Times New Roman"/>
          <w:sz w:val="20"/>
        </w:rPr>
        <w:t>[5] UCI Machine Learning Repository, "Heart disease dataset," UC Irvine School of Information and Computer Sciences, 2024. [Online]. Available: https://archive.ics.uci.edu/ml/datasets/heart+disease</w:t>
      </w:r>
    </w:p>
    <w:p w14:paraId="63AA439D" w14:textId="77777777" w:rsidR="003753BC" w:rsidRDefault="00000000">
      <w:r>
        <w:rPr>
          <w:rFonts w:ascii="Times New Roman" w:hAnsi="Times New Roman"/>
          <w:sz w:val="20"/>
        </w:rPr>
        <w:t>[6] N. Chawla et al., "SMOTE: Synthetic minority over-sampling technique," J. Artif. Intell. Res., vol. 16, pp. 321–357, 2002</w:t>
      </w:r>
    </w:p>
    <w:p w14:paraId="15F0DCBE" w14:textId="77777777" w:rsidR="003753BC" w:rsidRDefault="00000000">
      <w:r>
        <w:rPr>
          <w:rFonts w:ascii="Times New Roman" w:hAnsi="Times New Roman"/>
          <w:sz w:val="20"/>
        </w:rPr>
        <w:t>[7] T. Chen et al., "XGBoost: A scalable tree boosting system," in Proc. 22nd ACM SIGKDD, 2016, pp. 785–794</w:t>
      </w:r>
    </w:p>
    <w:p w14:paraId="54511E6B" w14:textId="77777777" w:rsidR="003753BC" w:rsidRDefault="00000000">
      <w:r>
        <w:rPr>
          <w:rFonts w:ascii="Times New Roman" w:hAnsi="Times New Roman"/>
          <w:sz w:val="20"/>
        </w:rPr>
        <w:t>[8] A. Lipton et al., "Mythos and realities about neural machine translation," in Adv. Neural Inf. Process. Syst., 2018, pp. 1907–1918</w:t>
      </w:r>
    </w:p>
    <w:sectPr w:rsidR="003753B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24448">
    <w:abstractNumId w:val="8"/>
  </w:num>
  <w:num w:numId="2" w16cid:durableId="509411581">
    <w:abstractNumId w:val="6"/>
  </w:num>
  <w:num w:numId="3" w16cid:durableId="524053999">
    <w:abstractNumId w:val="5"/>
  </w:num>
  <w:num w:numId="4" w16cid:durableId="598635199">
    <w:abstractNumId w:val="4"/>
  </w:num>
  <w:num w:numId="5" w16cid:durableId="1851943663">
    <w:abstractNumId w:val="7"/>
  </w:num>
  <w:num w:numId="6" w16cid:durableId="1149442545">
    <w:abstractNumId w:val="3"/>
  </w:num>
  <w:num w:numId="7" w16cid:durableId="1500804187">
    <w:abstractNumId w:val="2"/>
  </w:num>
  <w:num w:numId="8" w16cid:durableId="1647928912">
    <w:abstractNumId w:val="1"/>
  </w:num>
  <w:num w:numId="9" w16cid:durableId="90086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66"/>
    <w:rsid w:val="00034616"/>
    <w:rsid w:val="0006063C"/>
    <w:rsid w:val="0015074B"/>
    <w:rsid w:val="0029639D"/>
    <w:rsid w:val="00326F90"/>
    <w:rsid w:val="003753BC"/>
    <w:rsid w:val="008C7D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9AE81"/>
  <w14:defaultImageDpi w14:val="300"/>
  <w15:docId w15:val="{B24ECBCE-FCCC-4F03-A6EC-E836B9BFC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prisha surve</cp:lastModifiedBy>
  <cp:revision>2</cp:revision>
  <dcterms:created xsi:type="dcterms:W3CDTF">2013-12-23T23:15:00Z</dcterms:created>
  <dcterms:modified xsi:type="dcterms:W3CDTF">2026-03-20T09:29:00Z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cd2e9e13-8e5d-41ee-921a-93dca2e5389c</vt:lpwstr>
  </property>
</Properties>
</file>