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E6B4F"/>
          <w:sz w:val="18"/>
          <w:szCs w:val="18"/>
        </w:rPr>
        <w:t xml:space="preserve">EDS MIGRATION — SCOPE &amp; ANALYSIS HANDOVER</w:t>
      </w:r>
    </w:p>
    <w:p>
      <w:pPr>
        <w:spacing w:after="40"/>
      </w:pPr>
      <w:r>
        <w:rPr>
          <w:b/>
          <w:bCs/>
          <w:color w:val="1F3D2F"/>
          <w:sz w:val="44"/>
          <w:szCs w:val="44"/>
        </w:rPr>
        <w:t xml:space="preserve">Bed Bath N' Table (Singapore)</w:t>
      </w:r>
    </w:p>
    <w:p>
      <w:pPr>
        <w:spacing w:after="100"/>
      </w:pPr>
      <w:r>
        <w:rPr>
          <w:i/>
          <w:iCs/>
          <w:color w:val="5A5A6A"/>
          <w:sz w:val="22"/>
          <w:szCs w:val="22"/>
        </w:rPr>
        <w:t xml:space="preserve">Content-layer migration assessment for Adobe Edge Delivery Services</w:t>
      </w:r>
    </w:p>
    <w:p>
      <w:pPr>
        <w:spacing w:after="120"/>
      </w:pPr>
    </w:p>
    <w:tbl>
      <w:tblPr>
        <w:tblW w:type="pct" w:w="100%"/>
        <w:tblBorders>
          <w:top w:val="single" w:color="E2E2EA" w:sz="4"/>
          <w:left w:val="single" w:color="E2E2EA" w:sz="4"/>
          <w:bottom w:val="single" w:color="E2E2EA" w:sz="4"/>
          <w:right w:val="single" w:color="E2E2EA" w:sz="4"/>
          <w:insideH w:val="single" w:color="E2E2EA" w:sz="4"/>
          <w:insideV w:val="single" w:color="E2E2EA" w:sz="4"/>
        </w:tblBorders>
      </w:tblPr>
      <w:tblGrid>
        <w:gridCol w:w="3000"/>
        <w:gridCol w:w="6360"/>
      </w:tblGrid>
      <w:tr>
        <w:trPr>
          <w:tblHeader/>
        </w:trPr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Site analysed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https://www.bedbathntable.com.sg/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Analysis date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URLs in sitemap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6,756 (representative 51-page sample analysed across all template types)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Locale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en (Singapore)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Functional templates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8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Block variants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61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Platform detected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Adobe Commerce (Magento 2) + PageBuilder, Fastly CDN</w:t>
            </w:r>
          </w:p>
        </w:tc>
      </w:tr>
    </w:tbl>
    <w:p>
      <w:pPr>
        <w:pBdr>
          <w:bottom w:val="single" w:color="2E6B4F" w:sz="18" w:space="4"/>
        </w:pBdr>
        <w:spacing w:after="140" w:before="320"/>
      </w:pPr>
      <w:r>
        <w:rPr>
          <w:b/>
          <w:bCs/>
          <w:color w:val="1A1A2E"/>
          <w:sz w:val="30"/>
          <w:szCs w:val="30"/>
        </w:rPr>
        <w:t xml:space="preserve">1. Executive Summary</w:t>
      </w:r>
    </w:p>
    <w:p>
      <w:pPr>
        <w:spacing w:after="100"/>
      </w:pPr>
      <w:r>
        <w:rPr>
          <w:sz w:val="21"/>
          <w:szCs w:val="21"/>
        </w:rPr>
        <w:t xml:space="preserve">Bed Bath N' Table Singapore is a large Adobe Commerce (Magento 2) storefront fronted by Fastly CDN, with 6,756 URLs in its sitemap. All 6,756 were recorded for accurate counts; a representative 51-page sample was analysed covering every template type (a full browser crawl of the catalog is unnecessary for scoping — products share one template).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6,756 sitemap URLs; ~5,165 are product detail pages (PDPs).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8 functional page templates identified (PDP, PLP, category, home, blog, content).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61 reusable block variants catalogued (20 form + 13 hero variants stand out).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Magento PageBuilder is used heavily — content maps reasonably well to EDS blocks.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 homepage already loads Adobe Edge Delivery RUM (rum.hlx.page) — an EDS measurement pilot appears to be in place.</w:t>
      </w:r>
    </w:p>
    <w:p>
      <w:pPr>
        <w:spacing w:after="120"/>
      </w:pPr>
    </w:p>
    <w:p>
      <w:pPr>
        <w:pBdr>
          <w:left w:val="single" w:color="2E6B4F" w:sz="18" w:space="6"/>
        </w:pBdr>
        <w:shd w:fill="EAF3EC" w:color="auto" w:val="clear"/>
        <w:spacing w:after="120"/>
      </w:pPr>
      <w:r>
        <w:rPr>
          <w:b/>
          <w:bCs/>
          <w:color w:val="2E6B4F"/>
          <w:sz w:val="21"/>
          <w:szCs w:val="21"/>
        </w:rPr>
        <w:t xml:space="preserve">Key insight: </w:t>
      </w:r>
      <w:r>
        <w:rPr>
          <w:sz w:val="21"/>
          <w:szCs w:val="21"/>
        </w:rPr>
        <w:t xml:space="preserve">The migration economics are inverted from a typical content site. The huge PDP volume is the EASY part — one template, data-driven bulk import from the Magento catalog. The effort concentrates in the merchandised home/campaign pages, PLP facet configuration, and commerce integrations (cart, checkout, Afterpay, PayPal). Estimates assume the Adobe Commerce backend is retained for transactions; EDS fronts the content/browse experience.</w:t>
      </w:r>
    </w:p>
    <w:p>
      <w:pPr>
        <w:pBdr>
          <w:bottom w:val="single" w:color="2E6B4F" w:sz="18" w:space="4"/>
        </w:pBdr>
        <w:spacing w:after="140" w:before="320"/>
      </w:pPr>
      <w:r>
        <w:rPr>
          <w:b/>
          <w:bCs/>
          <w:color w:val="1A1A2E"/>
          <w:sz w:val="30"/>
          <w:szCs w:val="30"/>
        </w:rPr>
        <w:t xml:space="preserve">2. Templates Inventory</w:t>
      </w:r>
    </w:p>
    <w:p>
      <w:pPr>
        <w:spacing w:after="100"/>
      </w:pPr>
      <w:r>
        <w:rPr>
          <w:sz w:val="21"/>
          <w:szCs w:val="21"/>
        </w:rPr>
        <w:t xml:space="preserve">Magento serves a uniform shell, so structural fingerprinting groups pages loosely; below is the functional template inventory (what matters for migration), confirmed via rendered screenshots.</w:t>
      </w:r>
    </w:p>
    <w:tbl>
      <w:tblPr>
        <w:tblW w:type="pct" w:w="100%"/>
        <w:tblBorders>
          <w:top w:val="single" w:color="E2E2EA" w:sz="4"/>
          <w:left w:val="single" w:color="E2E2EA" w:sz="4"/>
          <w:bottom w:val="single" w:color="E2E2EA" w:sz="4"/>
          <w:right w:val="single" w:color="E2E2EA" w:sz="4"/>
          <w:insideH w:val="single" w:color="E2E2EA" w:sz="4"/>
          <w:insideV w:val="single" w:color="E2E2EA" w:sz="4"/>
        </w:tblBorders>
      </w:tblPr>
      <w:tblGrid>
        <w:gridCol w:w="450"/>
        <w:gridCol w:w="1900"/>
        <w:gridCol w:w="1100"/>
        <w:gridCol w:w="3700"/>
        <w:gridCol w:w="2110"/>
      </w:tblGrid>
      <w:tr>
        <w:trPr>
          <w:tblHeader/>
        </w:trPr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Template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Complexity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Reasoning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Reference URL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product-detail (PDP)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Gallery + zoom + thumbnails, title/brand, price w/ strike-through + stock, variant selector, feature icons, "Style With" cross-sell, designer notes, size-guide accordion.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/hana-breakfast-bowl-white-22497601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product-listing (PLP)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Faceted filters (Category/Size/Price/Colour), product grid with discount badges + colour swatches, Load More, sorting. Dynamic query-driven.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/sale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category-landing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Hero banner + subcategory tile grid + "Shop By Collection" curated tiles.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/bed, /bath, /table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homepage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Merchandised PageBuilder layout: promo heroes, category tiles, campaign banners, carousels.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/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blog-article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Long-form editorial: hero, alternating image+text, product callouts, Shop CTA, social share, "More from the blog".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/blog/mulberry-silk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blog/content-index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Blog listing, author, and category index pages.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/blog, /blog/inspiration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influencer / shop-the-look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Curated influencer content linking products.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/products/influencers/jessiikawilson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CMS/static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About, Terms, Privacy, Contact, Store Locator (PageBuilder/CMS pages).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/about-us-type pages</w:t>
            </w:r>
          </w:p>
        </w:tc>
      </w:tr>
    </w:tbl>
    <w:p>
      <w:pPr>
        <w:spacing w:after="80" w:before="200"/>
      </w:pPr>
      <w:r>
        <w:rPr>
          <w:b/>
          <w:bCs/>
          <w:color w:val="2E6B4F"/>
          <w:sz w:val="24"/>
          <w:szCs w:val="24"/>
        </w:rPr>
        <w:t xml:space="preserve">Template screenshots</w:t>
      </w:r>
    </w:p>
    <w:p>
      <w:pPr>
        <w:spacing w:after="20" w:before="120"/>
      </w:pPr>
      <w:r>
        <w:rPr>
          <w:b/>
          <w:bCs/>
          <w:color w:val="1A1A2E"/>
          <w:sz w:val="20"/>
          <w:szCs w:val="20"/>
        </w:rPr>
        <w:t xml:space="preserve">homepage</w:t>
      </w:r>
    </w:p>
    <w:p>
      <w:pPr>
        <w:spacing w:after="20" w:before="60"/>
      </w:pPr>
      <w:r>
        <w:drawing>
          <wp:inline distT="0" distB="0" distL="0" distR="0">
            <wp:extent cx="210502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Template: homepage — representative page</w:t>
      </w:r>
    </w:p>
    <w:p>
      <w:pPr>
        <w:spacing w:after="20" w:before="120"/>
      </w:pPr>
      <w:r>
        <w:rPr>
          <w:b/>
          <w:bCs/>
          <w:color w:val="1A1A2E"/>
          <w:sz w:val="20"/>
          <w:szCs w:val="20"/>
        </w:rPr>
        <w:t xml:space="preserve">category-landing</w:t>
      </w:r>
    </w:p>
    <w:p>
      <w:pPr>
        <w:spacing w:after="20" w:before="60"/>
      </w:pPr>
      <w:r>
        <w:drawing>
          <wp:inline distT="0" distB="0" distL="0" distR="0">
            <wp:extent cx="4181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Template: category-landing — representative page</w:t>
      </w:r>
    </w:p>
    <w:p>
      <w:pPr>
        <w:spacing w:after="20" w:before="120"/>
      </w:pPr>
      <w:r>
        <w:rPr>
          <w:b/>
          <w:bCs/>
          <w:color w:val="1A1A2E"/>
          <w:sz w:val="20"/>
          <w:szCs w:val="20"/>
        </w:rPr>
        <w:t xml:space="preserve">product-detail (PDP)</w:t>
      </w:r>
    </w:p>
    <w:p>
      <w:pPr>
        <w:spacing w:after="20" w:before="60"/>
      </w:pPr>
      <w:r>
        <w:drawing>
          <wp:inline distT="0" distB="0" distL="0" distR="0">
            <wp:extent cx="427672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Template: product-detail (PDP) — representative page</w:t>
      </w:r>
    </w:p>
    <w:p>
      <w:pPr>
        <w:spacing w:after="20" w:before="120"/>
      </w:pPr>
      <w:r>
        <w:rPr>
          <w:b/>
          <w:bCs/>
          <w:color w:val="1A1A2E"/>
          <w:sz w:val="20"/>
          <w:szCs w:val="20"/>
        </w:rPr>
        <w:t xml:space="preserve">product-listing (PLP)</w:t>
      </w:r>
    </w:p>
    <w:p>
      <w:pPr>
        <w:spacing w:after="20" w:before="60"/>
      </w:pPr>
      <w:r>
        <w:drawing>
          <wp:inline distT="0" distB="0" distL="0" distR="0">
            <wp:extent cx="1295400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Template: product-listing (PLP) — representative page</w:t>
      </w:r>
    </w:p>
    <w:p>
      <w:pPr>
        <w:spacing w:after="20" w:before="120"/>
      </w:pPr>
      <w:r>
        <w:rPr>
          <w:b/>
          <w:bCs/>
          <w:color w:val="1A1A2E"/>
          <w:sz w:val="20"/>
          <w:szCs w:val="20"/>
        </w:rPr>
        <w:t xml:space="preserve">blog-article</w:t>
      </w:r>
    </w:p>
    <w:p>
      <w:pPr>
        <w:spacing w:after="20" w:before="60"/>
      </w:pPr>
      <w:r>
        <w:drawing>
          <wp:inline distT="0" distB="0" distL="0" distR="0">
            <wp:extent cx="1123950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Template: blog-article — representative page</w:t>
      </w:r>
    </w:p>
    <w:p>
      <w:pPr>
        <w:spacing w:after="20" w:before="120"/>
      </w:pPr>
      <w:r>
        <w:rPr>
          <w:b/>
          <w:bCs/>
          <w:color w:val="1A1A2E"/>
          <w:sz w:val="20"/>
          <w:szCs w:val="20"/>
        </w:rPr>
        <w:t xml:space="preserve">influencer / shop-the-look</w:t>
      </w:r>
    </w:p>
    <w:p>
      <w:pPr>
        <w:spacing w:after="20" w:before="60"/>
      </w:pPr>
      <w:r>
        <w:drawing>
          <wp:inline distT="0" distB="0" distL="0" distR="0">
            <wp:extent cx="1295400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Template: influencer / shop-the-look — representative page</w:t>
      </w:r>
    </w:p>
    <w:p>
      <w:pPr>
        <w:pBdr>
          <w:bottom w:val="single" w:color="2E6B4F" w:sz="18" w:space="4"/>
        </w:pBdr>
        <w:spacing w:after="140" w:before="320"/>
      </w:pPr>
      <w:r>
        <w:rPr>
          <w:b/>
          <w:bCs/>
          <w:color w:val="1A1A2E"/>
          <w:sz w:val="30"/>
          <w:szCs w:val="30"/>
        </w:rPr>
        <w:t xml:space="preserve">3. Blocks / Components Catalog</w:t>
      </w:r>
    </w:p>
    <w:p>
      <w:pPr>
        <w:spacing w:after="100"/>
      </w:pPr>
      <w:r>
        <w:rPr>
          <w:sz w:val="21"/>
          <w:szCs w:val="21"/>
        </w:rPr>
        <w:t xml:space="preserve">61 block variants catalogued and consolidated by content model. E-commerce sites are block-rich; the standouts are 20 form variants and 13 hero variants.</w:t>
      </w:r>
    </w:p>
    <w:tbl>
      <w:tblPr>
        <w:tblW w:type="pct" w:w="100%"/>
        <w:tblBorders>
          <w:top w:val="single" w:color="E2E2EA" w:sz="4"/>
          <w:left w:val="single" w:color="E2E2EA" w:sz="4"/>
          <w:bottom w:val="single" w:color="E2E2EA" w:sz="4"/>
          <w:right w:val="single" w:color="E2E2EA" w:sz="4"/>
          <w:insideH w:val="single" w:color="E2E2EA" w:sz="4"/>
          <w:insideV w:val="single" w:color="E2E2EA" w:sz="4"/>
        </w:tblBorders>
      </w:tblPr>
      <w:tblGrid>
        <w:gridCol w:w="1600"/>
        <w:gridCol w:w="850"/>
        <w:gridCol w:w="1150"/>
        <w:gridCol w:w="3860"/>
        <w:gridCol w:w="1800"/>
      </w:tblGrid>
      <w:tr>
        <w:trPr>
          <w:tblHeader/>
        </w:trPr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Block (base)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Variants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Complexity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Behaviour / Functionality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Reference URL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header (global)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Store-locator bar, logo, product search, Sign In/Join, mega-nav (Bed/Bath/Table/Home Décor/Sleepwear/Kids/New/Sale), mini-cart.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all pages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footer (global)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4-column link nav, social icons, "Designed in Australia" seal, legal.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all pages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hero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Full-width promo/category banners; many merchandising variants.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/, /bed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form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20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Search, newsletter, account/login, add-to-cart, filters, contact, store-locator, reCAPTCHA-protected forms.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site-wide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cards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Product/category card grid (image, title, price, badge, swatch).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/sale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carousel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Product/image carousels ("Style With", collections).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PDP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tabs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Product info tabs / accordions (details, size guide).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PDP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columns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Low–Med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PageBuilder multi-column layout rows.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blog, home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video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Embedded video blocks.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blog/campaign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embed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Third-party embeds (maps, social).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store locator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custom / unknown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Composite PageBuilder compositions (heading+image+CTA+paragraph combos).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content pages</w:t>
            </w:r>
          </w:p>
        </w:tc>
      </w:tr>
    </w:tbl>
    <w:p>
      <w:pPr>
        <w:spacing w:after="80" w:before="200"/>
      </w:pPr>
      <w:r>
        <w:rPr>
          <w:b/>
          <w:bCs/>
          <w:color w:val="2E6B4F"/>
          <w:sz w:val="24"/>
          <w:szCs w:val="24"/>
        </w:rPr>
        <w:t xml:space="preserve">Block screenshots</w:t>
      </w:r>
    </w:p>
    <w:p>
      <w:pPr>
        <w:spacing w:after="20" w:before="100"/>
      </w:pPr>
      <w:r>
        <w:rPr>
          <w:b/>
          <w:bCs/>
          <w:color w:val="1A1A2E"/>
          <w:sz w:val="20"/>
          <w:szCs w:val="20"/>
        </w:rPr>
        <w:t xml:space="preserve">header</w:t>
      </w:r>
    </w:p>
    <w:p>
      <w:pPr>
        <w:spacing w:after="20" w:before="60"/>
      </w:pPr>
      <w:r>
        <w:drawing>
          <wp:inline distT="0" distB="0" distL="0" distR="0">
            <wp:extent cx="5143500" cy="46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Block: header</w:t>
      </w:r>
    </w:p>
    <w:p>
      <w:pPr>
        <w:spacing w:after="20" w:before="100"/>
      </w:pPr>
      <w:r>
        <w:rPr>
          <w:b/>
          <w:bCs/>
          <w:color w:val="1A1A2E"/>
          <w:sz w:val="20"/>
          <w:szCs w:val="20"/>
        </w:rPr>
        <w:t xml:space="preserve">hero</w:t>
      </w:r>
    </w:p>
    <w:p>
      <w:pPr>
        <w:spacing w:after="20" w:before="60"/>
      </w:pPr>
      <w:r>
        <w:drawing>
          <wp:inline distT="0" distB="0" distL="0" distR="0">
            <wp:extent cx="5143500" cy="70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Block: hero</w:t>
      </w:r>
    </w:p>
    <w:p>
      <w:pPr>
        <w:spacing w:after="20" w:before="100"/>
      </w:pPr>
      <w:r>
        <w:rPr>
          <w:b/>
          <w:bCs/>
          <w:color w:val="1A1A2E"/>
          <w:sz w:val="20"/>
          <w:szCs w:val="20"/>
        </w:rPr>
        <w:t xml:space="preserve">cards</w:t>
      </w:r>
    </w:p>
    <w:p>
      <w:pPr>
        <w:spacing w:after="20" w:before="60"/>
      </w:pPr>
      <w:r>
        <w:drawing>
          <wp:inline distT="0" distB="0" distL="0" distR="0">
            <wp:extent cx="514350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Block: cards</w:t>
      </w:r>
    </w:p>
    <w:p>
      <w:pPr>
        <w:spacing w:after="20" w:before="100"/>
      </w:pPr>
      <w:r>
        <w:rPr>
          <w:b/>
          <w:bCs/>
          <w:color w:val="1A1A2E"/>
          <w:sz w:val="20"/>
          <w:szCs w:val="20"/>
        </w:rPr>
        <w:t xml:space="preserve">carousel</w:t>
      </w:r>
    </w:p>
    <w:p>
      <w:pPr>
        <w:spacing w:after="20" w:before="60"/>
      </w:pPr>
      <w:r>
        <w:drawing>
          <wp:inline distT="0" distB="0" distL="0" distR="0">
            <wp:extent cx="514350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Block: carousel</w:t>
      </w:r>
    </w:p>
    <w:p>
      <w:pPr>
        <w:spacing w:after="20" w:before="100"/>
      </w:pPr>
      <w:r>
        <w:rPr>
          <w:b/>
          <w:bCs/>
          <w:color w:val="1A1A2E"/>
          <w:sz w:val="20"/>
          <w:szCs w:val="20"/>
        </w:rPr>
        <w:t xml:space="preserve">tabs</w:t>
      </w:r>
    </w:p>
    <w:p>
      <w:pPr>
        <w:spacing w:after="20" w:before="60"/>
      </w:pPr>
      <w:r>
        <w:drawing>
          <wp:inline distT="0" distB="0" distL="0" distR="0">
            <wp:extent cx="51435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Block: tabs</w:t>
      </w:r>
    </w:p>
    <w:p>
      <w:pPr>
        <w:spacing w:after="20" w:before="100"/>
      </w:pPr>
      <w:r>
        <w:rPr>
          <w:b/>
          <w:bCs/>
          <w:color w:val="1A1A2E"/>
          <w:sz w:val="20"/>
          <w:szCs w:val="20"/>
        </w:rPr>
        <w:t xml:space="preserve">form</w:t>
      </w:r>
    </w:p>
    <w:p>
      <w:pPr>
        <w:spacing w:after="20" w:before="60"/>
      </w:pPr>
      <w:r>
        <w:drawing>
          <wp:inline distT="0" distB="0" distL="0" distR="0">
            <wp:extent cx="51435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Block: form</w:t>
      </w:r>
    </w:p>
    <w:p>
      <w:pPr>
        <w:spacing w:after="20" w:before="100"/>
      </w:pPr>
      <w:r>
        <w:rPr>
          <w:b/>
          <w:bCs/>
          <w:color w:val="1A1A2E"/>
          <w:sz w:val="20"/>
          <w:szCs w:val="20"/>
        </w:rPr>
        <w:t xml:space="preserve">columns</w:t>
      </w:r>
    </w:p>
    <w:p>
      <w:pPr>
        <w:spacing w:after="20" w:before="60"/>
      </w:pPr>
      <w:r>
        <w:drawing>
          <wp:inline distT="0" distB="0" distL="0" distR="0">
            <wp:extent cx="51435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Block: columns</w:t>
      </w:r>
    </w:p>
    <w:p>
      <w:pPr>
        <w:spacing w:after="20" w:before="100"/>
      </w:pPr>
      <w:r>
        <w:rPr>
          <w:b/>
          <w:bCs/>
          <w:color w:val="1A1A2E"/>
          <w:sz w:val="20"/>
          <w:szCs w:val="20"/>
        </w:rPr>
        <w:t xml:space="preserve">footer</w:t>
      </w:r>
    </w:p>
    <w:p>
      <w:pPr>
        <w:spacing w:after="20" w:before="60"/>
      </w:pPr>
      <w:r>
        <w:drawing>
          <wp:inline distT="0" distB="0" distL="0" distR="0">
            <wp:extent cx="5143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i/>
          <w:iCs/>
          <w:color w:val="5A5A6A"/>
          <w:sz w:val="16"/>
          <w:szCs w:val="16"/>
        </w:rPr>
        <w:t xml:space="preserve">Block: footer</w:t>
      </w:r>
    </w:p>
    <w:p>
      <w:pPr>
        <w:pBdr>
          <w:bottom w:val="single" w:color="2E6B4F" w:sz="18" w:space="4"/>
        </w:pBdr>
        <w:spacing w:after="140" w:before="320"/>
      </w:pPr>
      <w:r>
        <w:rPr>
          <w:b/>
          <w:bCs/>
          <w:color w:val="1A1A2E"/>
          <w:sz w:val="30"/>
          <w:szCs w:val="30"/>
        </w:rPr>
        <w:t xml:space="preserve">4. Page Counts by Template &amp; Migration Classification</w:t>
      </w:r>
    </w:p>
    <w:p>
      <w:pPr>
        <w:spacing w:after="100"/>
      </w:pPr>
      <w:r>
        <w:rPr>
          <w:sz w:val="21"/>
          <w:szCs w:val="21"/>
        </w:rPr>
        <w:t xml:space="preserve">Counts scaled to the full 6,756-URL sitemap.</w:t>
      </w:r>
    </w:p>
    <w:tbl>
      <w:tblPr>
        <w:tblW w:type="pct" w:w="100%"/>
        <w:tblBorders>
          <w:top w:val="single" w:color="E2E2EA" w:sz="4"/>
          <w:left w:val="single" w:color="E2E2EA" w:sz="4"/>
          <w:bottom w:val="single" w:color="E2E2EA" w:sz="4"/>
          <w:right w:val="single" w:color="E2E2EA" w:sz="4"/>
          <w:insideH w:val="single" w:color="E2E2EA" w:sz="4"/>
          <w:insideV w:val="single" w:color="E2E2EA" w:sz="4"/>
        </w:tblBorders>
      </w:tblPr>
      <w:tblGrid>
        <w:gridCol w:w="2500"/>
        <w:gridCol w:w="1300"/>
        <w:gridCol w:w="2200"/>
        <w:gridCol w:w="3060"/>
      </w:tblGrid>
      <w:tr>
        <w:trPr>
          <w:tblHeader/>
        </w:trPr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Template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Pages (approx)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Migration Path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product-detail (PDP)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5,165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Automated (data-driven)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Uniform template; migrate via catalog/feed export, not page scraping. Ideal for bulk automation.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product-listing + categories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~1,390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Semi-auto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Category tree + facet config; grids data-driven but filters/curation need setup.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blog (articles + indexes)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87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Semi-auto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Editorial import; rich PageBuilder bodies.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influencer / shop-the-look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47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Semi-auto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Curated product links.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catalog/category/view (id dupes)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Automated (redirect)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Canonical duplicates → redirect rules.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homepage + CMS/static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~50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Manual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Merchandised/bespoke; hand-build.</w:t>
            </w:r>
          </w:p>
        </w:tc>
      </w:tr>
      <w:tr>
        <w:tc>
          <w:tcPr>
            <w:shd w:fill="EA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A2E"/>
                <w:sz w:val="18"/>
                <w:szCs w:val="18"/>
              </w:rPr>
              <w:t xml:space="preserve">Total</w:t>
            </w:r>
          </w:p>
        </w:tc>
        <w:tc>
          <w:tcPr>
            <w:shd w:fill="EA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A2E"/>
                <w:sz w:val="18"/>
                <w:szCs w:val="18"/>
              </w:rPr>
              <w:t xml:space="preserve">6,756</w:t>
            </w:r>
          </w:p>
        </w:tc>
        <w:tc>
          <w:tcPr>
            <w:shd w:fill="EA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A2E"/>
                <w:sz w:val="18"/>
                <w:szCs w:val="18"/>
              </w:rPr>
              <w:t xml:space="preserve">Automated ~77%</w:t>
            </w:r>
          </w:p>
        </w:tc>
        <w:tc>
          <w:tcPr>
            <w:shd w:fill="EAF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A2E"/>
                <w:sz w:val="18"/>
                <w:szCs w:val="18"/>
              </w:rPr>
              <w:t xml:space="preserve">Semi-auto ~22% · Manual ~1%</w:t>
            </w:r>
          </w:p>
        </w:tc>
      </w:tr>
    </w:tbl>
    <w:p>
      <w:pPr>
        <w:spacing w:after="100"/>
      </w:pPr>
      <w:r>
        <w:rPr>
          <w:i/>
          <w:iCs/>
          <w:color w:val="5A5A6A"/>
          <w:sz w:val="18"/>
          <w:szCs w:val="18"/>
        </w:rPr>
        <w:t xml:space="preserve">The huge PDP volume is the easy part (one template, data-driven bulk import from the Magento catalog), while the merchandised home/campaign pages and PLP facet configuration are the effort.</w:t>
      </w:r>
    </w:p>
    <w:p>
      <w:pPr>
        <w:pBdr>
          <w:bottom w:val="single" w:color="2E6B4F" w:sz="18" w:space="4"/>
        </w:pBdr>
        <w:spacing w:after="140" w:before="320"/>
      </w:pPr>
      <w:r>
        <w:rPr>
          <w:b/>
          <w:bCs/>
          <w:color w:val="1A1A2E"/>
          <w:sz w:val="30"/>
          <w:szCs w:val="30"/>
        </w:rPr>
        <w:t xml:space="preserve">5. Integrations Analysis</w:t>
      </w:r>
    </w:p>
    <w:tbl>
      <w:tblPr>
        <w:tblW w:type="pct" w:w="100%"/>
        <w:tblBorders>
          <w:top w:val="single" w:color="E2E2EA" w:sz="4"/>
          <w:left w:val="single" w:color="E2E2EA" w:sz="4"/>
          <w:bottom w:val="single" w:color="E2E2EA" w:sz="4"/>
          <w:right w:val="single" w:color="E2E2EA" w:sz="4"/>
          <w:insideH w:val="single" w:color="E2E2EA" w:sz="4"/>
          <w:insideV w:val="single" w:color="E2E2EA" w:sz="4"/>
        </w:tblBorders>
      </w:tblPr>
      <w:tblGrid>
        <w:gridCol w:w="3400"/>
        <w:gridCol w:w="2100"/>
        <w:gridCol w:w="1300"/>
        <w:gridCol w:w="2360"/>
      </w:tblGrid>
      <w:tr>
        <w:trPr>
          <w:tblHeader/>
        </w:trPr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Integration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Complexity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Where used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Adobe Commerce (Magento 2)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Platform / backend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Site-wide (catalog, cart, checkout, customer)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Magento PageBuilder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CMS / content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Home, category, CMS, blog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Fastly CDN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Platform / caching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Site-wide (/fastlyCdn/)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Afterpay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Payment (BNPL)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PDP, cart, checkout (mini-cart integration)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PayPal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Payment gateway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High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Cart, checkout (billing agreements)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Google reCAPTCHA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Security / forms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Login, registration, forms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Google Tag Manager + gtag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Analytics / tags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All pages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Dotdigital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Email / marketing automation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Newsletter, email capture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Adobe Edge Delivery RUM (rum.hlx.page)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Measurement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Homepage (pilot)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Social: Facebook, Pinterest, TikTok, Instagram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Pixels / embeds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Low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Tracking + footer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Store Locator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Feature / embed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Store-locator pages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Wishlist / customer sections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Commerce feature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Medium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Account, PDP</w:t>
            </w:r>
          </w:p>
        </w:tc>
      </w:tr>
    </w:tbl>
    <w:p>
      <w:pPr>
        <w:pBdr>
          <w:bottom w:val="single" w:color="2E6B4F" w:sz="18" w:space="4"/>
        </w:pBdr>
        <w:spacing w:after="140" w:before="320"/>
      </w:pPr>
      <w:r>
        <w:rPr>
          <w:b/>
          <w:bCs/>
          <w:color w:val="1A1A2E"/>
          <w:sz w:val="30"/>
          <w:szCs w:val="30"/>
        </w:rPr>
        <w:t xml:space="preserve">6. Complex Use Cases &amp; Observations</w:t>
      </w:r>
    </w:p>
    <w:tbl>
      <w:tblPr>
        <w:tblW w:type="pct" w:w="100%"/>
        <w:tblBorders>
          <w:top w:val="single" w:color="E2E2EA" w:sz="4"/>
          <w:left w:val="single" w:color="E2E2EA" w:sz="4"/>
          <w:bottom w:val="single" w:color="E2E2EA" w:sz="4"/>
          <w:right w:val="single" w:color="E2E2EA" w:sz="4"/>
          <w:insideH w:val="single" w:color="E2E2EA" w:sz="4"/>
          <w:insideV w:val="single" w:color="E2E2EA" w:sz="4"/>
        </w:tblBorders>
      </w:tblPr>
      <w:tblGrid>
        <w:gridCol w:w="450"/>
        <w:gridCol w:w="2400"/>
        <w:gridCol w:w="1350"/>
        <w:gridCol w:w="2100"/>
        <w:gridCol w:w="2760"/>
      </w:tblGrid>
      <w:tr>
        <w:trPr>
          <w:tblHeader/>
        </w:trPr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Complex behaviour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Instances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Why complex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Product catalog &amp; variants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5,165 PDPs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product pages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Variant/SKU selection, pricing, inventory — needs catalog data source, not page scrape.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Faceted search / filtering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~1,390 PLPs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category/sale pages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Dynamic Category/Size/Price/Colour facets + Load More; query-driven.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Cart / checkout / payments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site-wide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cart, checkout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Afterpay + PayPal + reCAPTCHA; transactional — stays on/integrates with commerce backend.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Customer accounts / wishlist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site-wide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account, PDP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Auth, session, saved items.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PageBuilder compositions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home + campaigns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merchandised pages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Bespoke layouts → map to EDS blocks.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Stale sitemap entries (404s)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27 of 78 sampled (~35%)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products + blog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Discontinued products/seasonal posts still listed — real URL count is lower; needs validation pass.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Duplicate canonical URLs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17+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/catalog/category/view/id/*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Same category via slug + id → redirect strategy.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Rich blog editorial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87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/blog/*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Long-form image+text + product callouts.</w:t>
            </w:r>
          </w:p>
        </w:tc>
      </w:tr>
    </w:tbl>
    <w:p>
      <w:pPr>
        <w:pBdr>
          <w:bottom w:val="single" w:color="2E6B4F" w:sz="18" w:space="4"/>
        </w:pBdr>
        <w:spacing w:after="140" w:before="320"/>
      </w:pPr>
      <w:r>
        <w:rPr>
          <w:b/>
          <w:bCs/>
          <w:color w:val="1A1A2E"/>
          <w:sz w:val="30"/>
          <w:szCs w:val="30"/>
        </w:rPr>
        <w:t xml:space="preserve">7. Migration Estimates</w:t>
      </w:r>
    </w:p>
    <w:p>
      <w:pPr>
        <w:spacing w:after="100"/>
      </w:pPr>
      <w:r>
        <w:rPr>
          <w:sz w:val="21"/>
          <w:szCs w:val="21"/>
        </w:rPr>
        <w:t xml:space="preserve">Estimates cover the content/storefront presentation layer. The commerce engine (cart, checkout, payments, catalog DB) is assumed to remain on Adobe Commerce — EDS fronts the content/browse experience while transactions stay on Magento.</w:t>
      </w:r>
    </w:p>
    <w:p>
      <w:pPr>
        <w:spacing w:after="80" w:before="200"/>
      </w:pPr>
      <w:r>
        <w:rPr>
          <w:b/>
          <w:bCs/>
          <w:color w:val="2E6B4F"/>
          <w:sz w:val="24"/>
          <w:szCs w:val="24"/>
        </w:rPr>
        <w:t xml:space="preserve">Effort by workstream</w:t>
      </w:r>
    </w:p>
    <w:tbl>
      <w:tblPr>
        <w:tblW w:type="pct" w:w="100%"/>
        <w:tblBorders>
          <w:top w:val="single" w:color="E2E2EA" w:sz="4"/>
          <w:left w:val="single" w:color="E2E2EA" w:sz="4"/>
          <w:bottom w:val="single" w:color="E2E2EA" w:sz="4"/>
          <w:right w:val="single" w:color="E2E2EA" w:sz="4"/>
          <w:insideH w:val="single" w:color="E2E2EA" w:sz="4"/>
          <w:insideV w:val="single" w:color="E2E2EA" w:sz="4"/>
        </w:tblBorders>
      </w:tblPr>
      <w:tblGrid>
        <w:gridCol w:w="4600"/>
        <w:gridCol w:w="1800"/>
        <w:gridCol w:w="3860"/>
      </w:tblGrid>
      <w:tr>
        <w:trPr>
          <w:tblHeader/>
        </w:trPr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Workstream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Estimate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Block development (61 variants → ~18–22 EDS blocks + variations)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18–25 days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Heavy: 20 form + 13 hero variants, carousels, tabs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Template setup (8 functional templates)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8–10 days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PDP, PLP, category, home, blog, content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PDP automation (catalog-feed import, ~5,165)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6–10 days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Scripted from Magento catalog/API — the big win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PLP + category setup (facets, tree, curation)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8–12 days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Data-driven grids + filter config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Homepage + campaign/CMS pages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6–9 days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Merchandised, bespoke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Blog + influencer content import (~134)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5–8 days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Editorial PageBuilder bodies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Header / footer / mega-nav / search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5–7 days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Commerce nav + mini-cart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Commerce integrations (cart/checkout/Afterpay/PayPal/search)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8–14 days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Front-end integration to Magento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Analytics &amp; marketing (GTM/Dotdigital/pixels/RUM)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3–5 days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URL validation + redirects (404s, canonical dupes)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3–5 days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~35% stale-URL signal needs a crawl-verify pass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QA &amp; testing (functional, commerce, visual, a11y, PageSpeed)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12–16 days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Commerce QA is heavier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PM / UAT / fixes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8–10 days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200"/>
      </w:pPr>
      <w:r>
        <w:rPr>
          <w:b/>
          <w:bCs/>
          <w:color w:val="2E6B4F"/>
          <w:sz w:val="24"/>
          <w:szCs w:val="24"/>
        </w:rPr>
        <w:t xml:space="preserve">Totals</w:t>
      </w:r>
    </w:p>
    <w:tbl>
      <w:tblPr>
        <w:tblW w:type="pct" w:w="100%"/>
        <w:tblBorders>
          <w:top w:val="single" w:color="E2E2EA" w:sz="4"/>
          <w:left w:val="single" w:color="E2E2EA" w:sz="4"/>
          <w:bottom w:val="single" w:color="E2E2EA" w:sz="4"/>
          <w:right w:val="single" w:color="E2E2EA" w:sz="4"/>
          <w:insideH w:val="single" w:color="E2E2EA" w:sz="4"/>
          <w:insideV w:val="single" w:color="E2E2EA" w:sz="4"/>
        </w:tblBorders>
      </w:tblPr>
      <w:tblGrid>
        <w:gridCol w:w="3000"/>
        <w:gridCol w:w="7260"/>
      </w:tblGrid>
      <w:tr>
        <w:trPr>
          <w:tblHeader/>
        </w:trPr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Estimate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Total effort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~90–130 person-days (≈ 18–26 weeks of work)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Recommended team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2–3 developers + 1 commerce specialist + 1–2 QA + PM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Calendar schedule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~12–18 weeks with the team above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Indicative cost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At a blended ~$600/day → ≈ $54k–$78k (adjust to your rates)</w:t>
            </w:r>
          </w:p>
        </w:tc>
      </w:tr>
    </w:tbl>
    <w:p>
      <w:pPr>
        <w:spacing w:after="80" w:before="200"/>
      </w:pPr>
      <w:r>
        <w:rPr>
          <w:b/>
          <w:bCs/>
          <w:color w:val="2E6B4F"/>
          <w:sz w:val="24"/>
          <w:szCs w:val="24"/>
        </w:rPr>
        <w:t xml:space="preserve">Recommended phasing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Phase 1 — Blocks + templates +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Phase 2 — PDP bulk automation + PLP/category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Phase 3 — Home/campaign/blog/content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Phase 4 — Commerce integrations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Phase 5 — QA/UAT + redirects</w:t>
      </w:r>
    </w:p>
    <w:p>
      <w:pPr>
        <w:pBdr>
          <w:bottom w:val="single" w:color="2E6B4F" w:sz="18" w:space="4"/>
        </w:pBdr>
        <w:spacing w:after="140" w:before="320"/>
      </w:pPr>
      <w:r>
        <w:rPr>
          <w:b/>
          <w:bCs/>
          <w:color w:val="1A1A2E"/>
          <w:sz w:val="30"/>
          <w:szCs w:val="30"/>
        </w:rPr>
        <w:t xml:space="preserve">8. Caveats &amp; Assumptions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6,756 URLs come from the sitemap; the sample showed ~35% stale/404 entries (discontinued products, seasonal posts), so the true live page count is meaningfully lower — a URL-validation crawl is recommended before final counts.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Analysis used a 51-page representative sample across all template types (full-catalog browser analysis was intentionally skipped as unnecessary for scoping). Coverage is 100% of template types.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Estimates assume the Adobe Commerce backend is retained for transactions; a full re-platform of cart/checkout/payments would be a separate, larger effort.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Cost figures are indicative and use a placeholder blended day rate; adjust to your actual rates.</w:t>
      </w:r>
    </w:p>
    <w:p>
      <w:pPr>
        <w:pBdr>
          <w:bottom w:val="single" w:color="2E6B4F" w:sz="18" w:space="4"/>
        </w:pBdr>
        <w:spacing w:after="140" w:before="320"/>
      </w:pPr>
      <w:r>
        <w:rPr>
          <w:b/>
          <w:bCs/>
          <w:color w:val="1A1A2E"/>
          <w:sz w:val="30"/>
          <w:szCs w:val="30"/>
        </w:rPr>
        <w:t xml:space="preserve">9. Analysis Artifacts</w:t>
      </w:r>
    </w:p>
    <w:tbl>
      <w:tblPr>
        <w:tblW w:type="pct" w:w="100%"/>
        <w:tblBorders>
          <w:top w:val="single" w:color="E2E2EA" w:sz="4"/>
          <w:left w:val="single" w:color="E2E2EA" w:sz="4"/>
          <w:bottom w:val="single" w:color="E2E2EA" w:sz="4"/>
          <w:right w:val="single" w:color="E2E2EA" w:sz="4"/>
          <w:insideH w:val="single" w:color="E2E2EA" w:sz="4"/>
          <w:insideV w:val="single" w:color="E2E2EA" w:sz="4"/>
        </w:tblBorders>
      </w:tblPr>
      <w:tblGrid>
        <w:gridCol w:w="3400"/>
        <w:gridCol w:w="6860"/>
      </w:tblGrid>
      <w:tr>
        <w:trPr>
          <w:tblHeader/>
        </w:trPr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Artifact</w:t>
            </w:r>
          </w:p>
        </w:tc>
        <w:tc>
          <w:tcPr>
            <w:shd w:fill="1F3D2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template-catalog.json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Named templates with page assignments and reference URLs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block-catalog.json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61 block variants with usage counts and canonical models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summary.json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Site metrics and coverage summary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urls-all.json / urls-grouped.json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6,756 discovered URLs, grouped by pattern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.pages/{slug}/full-page.jpg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Full-page screenshot per analysed page</w:t>
            </w:r>
          </w:p>
        </w:tc>
      </w:tr>
      <w:tr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.blocks/{variant}/screenshots/</w:t>
            </w:r>
          </w:p>
        </w:tc>
        <w:tc>
          <w:tcPr>
            <w:shd w:fill="F1F5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A2E"/>
                <w:sz w:val="18"/>
                <w:szCs w:val="18"/>
              </w:rPr>
              <w:t xml:space="preserve">Screenshots per block variant</w:t>
            </w:r>
          </w:p>
        </w:tc>
      </w:tr>
    </w:tbl>
    <w:p>
      <w:pPr>
        <w:pBdr>
          <w:top w:val="single" w:color="E2E2EA" w:sz="6" w:space="6"/>
        </w:pBdr>
        <w:spacing w:before="300"/>
      </w:pPr>
      <w:r>
        <w:rPr>
          <w:i/>
          <w:iCs/>
          <w:color w:val="5A5A6A"/>
          <w:sz w:val="16"/>
          <w:szCs w:val="16"/>
        </w:rPr>
        <w:t xml:space="preserve">Bed Bath N' Table (SG) — EDS Migration Handover · Generated 2026-08-25 · Content/presentation-layer scope (Adobe Commerce backend assumed retained for transactions).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f33e765a3bbbab7d388b858aa4d3b8a872977a.jpg"/><Relationship Id="rId8" Type="http://schemas.openxmlformats.org/officeDocument/2006/relationships/image" Target="media/b8f1362aefd3e4505229d3406b715ce56e01fdef.jpg"/><Relationship Id="rId9" Type="http://schemas.openxmlformats.org/officeDocument/2006/relationships/image" Target="media/05db0ba6f898b851a2df934a88c2515fff224384.jpg"/><Relationship Id="rId10" Type="http://schemas.openxmlformats.org/officeDocument/2006/relationships/image" Target="media/689a2a647bb7d6c010c9a6aec847d652fb41ea2b.jpg"/><Relationship Id="rId11" Type="http://schemas.openxmlformats.org/officeDocument/2006/relationships/image" Target="media/fffb9cd89b5443277ac163c684718da68f7f8840.jpg"/><Relationship Id="rId12" Type="http://schemas.openxmlformats.org/officeDocument/2006/relationships/image" Target="media/a96a5b6e2f1a068b424f1a92bd1f710640767048.jpg"/><Relationship Id="rId13" Type="http://schemas.openxmlformats.org/officeDocument/2006/relationships/image" Target="media/757c78009c419348ac977e738dc6213f689a576c.jpg"/><Relationship Id="rId14" Type="http://schemas.openxmlformats.org/officeDocument/2006/relationships/image" Target="media/47770dd7ce6309a2fc41be02c815a4167d271093.jpg"/><Relationship Id="rId15" Type="http://schemas.openxmlformats.org/officeDocument/2006/relationships/image" Target="media/05d9d29aeebee34d8d2c79282cc59c93c90c43bc.jpg"/><Relationship Id="rId16" Type="http://schemas.openxmlformats.org/officeDocument/2006/relationships/image" Target="media/ebbdfc8088784b77b8cf474008846238fbc0ad89.jpg"/><Relationship Id="rId17" Type="http://schemas.openxmlformats.org/officeDocument/2006/relationships/image" Target="media/6e7ca3f41fb732e82a5c32cc4425f054ef6aa61f.jpg"/><Relationship Id="rId18" Type="http://schemas.openxmlformats.org/officeDocument/2006/relationships/image" Target="media/ea11a4a9a97a84a6ee4dd197c8eeb109d9695eed.jpg"/><Relationship Id="rId19" Type="http://schemas.openxmlformats.org/officeDocument/2006/relationships/image" Target="media/21f9733b10aadcce2c46cbfd4eb8f10564932399.jpg"/><Relationship Id="rId20" Type="http://schemas.openxmlformats.org/officeDocument/2006/relationships/image" Target="media/01909d658df2ed8bc752ea16d6e10f8c97802611.jp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Bed Bath N' Table (SG) — EDS Migration Handover</dc:title>
  <dc:creator>EDS Migration Analysis</dc:creator>
  <cp:lastModifiedBy>Un-named</cp:lastModifiedBy>
  <cp:revision>1</cp:revision>
  <dcterms:created xsi:type="dcterms:W3CDTF">2026-08-25T16:57:01.883Z</dcterms:created>
  <dcterms:modified xsi:type="dcterms:W3CDTF">2026-08-25T16:57:01.883Z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