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C0033"/>
          <w:sz w:val="18"/>
          <w:szCs w:val="18"/>
        </w:rPr>
        <w:t xml:space="preserve">EDS MIGRATION — SCOPE &amp; ANALYSIS HANDOVER</w:t>
      </w:r>
    </w:p>
    <w:p>
      <w:pPr>
        <w:spacing w:after="40"/>
      </w:pPr>
      <w:r>
        <w:rPr>
          <w:b/>
          <w:bCs/>
          <w:color w:val="1A1A2E"/>
          <w:sz w:val="48"/>
          <w:szCs w:val="48"/>
        </w:rPr>
        <w:t xml:space="preserve">Virgin Atlantic (en-IN)</w:t>
      </w:r>
    </w:p>
    <w:p>
      <w:pPr>
        <w:spacing w:after="100"/>
      </w:pPr>
      <w:r>
        <w:rPr>
          <w:i/>
          <w:iCs/>
          <w:color w:val="5A5A6A"/>
          <w:sz w:val="22"/>
          <w:szCs w:val="22"/>
        </w:rPr>
        <w:t xml:space="preserve">Content-layer migration assessment for Adobe Edge Delivery Services</w:t>
      </w:r>
    </w:p>
    <w:p>
      <w:pPr>
        <w:spacing w:after="120"/>
      </w:pP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63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analysed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https://www.virginatlantic.com/en-IN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Analysis date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2026-08-25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Pages discovered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446 (444 analysed — 99.6% coverage)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en-IN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variants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</w:t>
            </w:r>
          </w:p>
        </w:tc>
      </w:tr>
    </w:tbl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21"/>
          <w:szCs w:val="21"/>
        </w:rPr>
        <w:t xml:space="preserve">A full crawl and structural analysis of the India locale of virginatlantic.com was completed to scope an Adobe Edge Delivery Services (EDS) migration.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446 pages discovered via the site XML sitemap (hreflang alternates).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444 pages successfully analysed — 99.6% coverage (2 pages failed to render).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12 unique page templates identified.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27 reusable block variants catalogued.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 locale in scope (en-IN).</w:t>
      </w:r>
    </w:p>
    <w:p>
      <w:pPr>
        <w:spacing w:after="120"/>
      </w:pPr>
    </w:p>
    <w:p>
      <w:pPr>
        <w:pBdr>
          <w:left w:val="single" w:color="CC0033" w:sz="18" w:space="6"/>
        </w:pBdr>
        <w:shd w:fill="FFF6F8" w:color="auto" w:val="clear"/>
        <w:spacing w:after="120"/>
      </w:pPr>
      <w:r>
        <w:rPr>
          <w:b/>
          <w:bCs/>
          <w:color w:val="CC0033"/>
          <w:sz w:val="21"/>
          <w:szCs w:val="21"/>
        </w:rPr>
        <w:t xml:space="preserve">Key constraint: </w:t>
      </w:r>
      <w:r>
        <w:rPr>
          <w:sz w:val="21"/>
          <w:szCs w:val="21"/>
        </w:rPr>
        <w:t xml:space="preserve">The passenger site is a JavaScript-heavy, application-driven site behind Akamai bot protection. The booking engine, check-in, flight status, seat maps and account areas run on separate application subdomains (flights., flywith., vaabrowse.virginatlantic.com) and are OUT OF SCOPE for content migration — they are transactional applications, not authored content. The 446 pages in this report are the migratable marketing/content layer.</w:t>
      </w:r>
    </w:p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Templates Inventory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500"/>
        <w:gridCol w:w="1900"/>
        <w:gridCol w:w="1200"/>
        <w:gridCol w:w="3560"/>
        <w:gridCol w:w="220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marketing-landing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Section-hub landing: hero, promo cards, alternating image+text rows, icon-link row. Some regions render client-side.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/en-IN, /en-IN/corporate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rich-text-article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 banner + breadcrumb + long-form rich text. Standardized.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/en-IN/policies/air-carrier-access-act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editorial-travel-guide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Byline/read-time, hero, alternating story sections, inline CTA, related-inspiration teaser.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/en-IN/inspiration/africa/cape-town-travel-guide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client-rendered-content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Main content rendered client-side; static capture shows only header/footer shell.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/en-IN/contact-us/payment-options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accordion-content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 + intro + expand/collapse accordion sections + contact block.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/en-IN/corporate/engineering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news-listing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 + CTAs + dated card grid + "See all" pagination.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/en-IN/travel-news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promo-feature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Campaign/reward layout: hero, media-rich sections, CTA blocks.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/en-IN/experience/football-world-cup-2026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reference-document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 + short reference text/links. Sparse.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/en-IN/corporate/annual-reports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inspiration-hub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Inspiration index: hero + card grid to guides.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/en-IN/inspiration/south-korea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destination-detail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Where-we-fly leaf: hero, destination overview, booking prompts.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/en-IN/where-we-fly/caribbean/tobago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itinerary-guide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Stepped/day-by-day editorial content.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/en-IN/where-we-fly/.../los-angeles-itinerary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manage-booking-app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Application/tool page driven by embedded booking app; minimal static markup.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/en-IN/manage-booking</w:t>
            </w:r>
          </w:p>
        </w:tc>
      </w:tr>
    </w:tbl>
    <w:p>
      <w:pPr>
        <w:spacing w:after="80" w:before="200"/>
      </w:pPr>
      <w:r>
        <w:rPr>
          <w:b/>
          <w:bCs/>
          <w:color w:val="CC0033"/>
          <w:sz w:val="24"/>
          <w:szCs w:val="24"/>
        </w:rPr>
        <w:t xml:space="preserve">Template screenshots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marketing-landing</w:t>
      </w:r>
    </w:p>
    <w:p>
      <w:pPr>
        <w:spacing w:after="20" w:before="60"/>
      </w:pPr>
      <w:r>
        <w:drawing>
          <wp:inline distT="0" distB="0" distL="0" distR="0">
            <wp:extent cx="1333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marketing-landing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rich-text-article</w:t>
      </w:r>
    </w:p>
    <w:p>
      <w:pPr>
        <w:spacing w:after="20" w:before="60"/>
      </w:pPr>
      <w:r>
        <w:drawing>
          <wp:inline distT="0" distB="0" distL="0" distR="0">
            <wp:extent cx="38576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rich-text-article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editorial-travel-guide</w:t>
      </w:r>
    </w:p>
    <w:p>
      <w:pPr>
        <w:spacing w:after="20" w:before="60"/>
      </w:pPr>
      <w:r>
        <w:drawing>
          <wp:inline distT="0" distB="0" distL="0" distR="0">
            <wp:extent cx="21431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editorial-travel-guide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accordion-content</w:t>
      </w:r>
    </w:p>
    <w:p>
      <w:pPr>
        <w:spacing w:after="20" w:before="60"/>
      </w:pPr>
      <w:r>
        <w:drawing>
          <wp:inline distT="0" distB="0" distL="0" distR="0">
            <wp:extent cx="33813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accordion-content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news-listing</w:t>
      </w:r>
    </w:p>
    <w:p>
      <w:pPr>
        <w:spacing w:after="20" w:before="60"/>
      </w:pPr>
      <w:r>
        <w:drawing>
          <wp:inline distT="0" distB="0" distL="0" distR="0">
            <wp:extent cx="43624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news-listing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promo-feature</w:t>
      </w:r>
    </w:p>
    <w:p>
      <w:pPr>
        <w:spacing w:after="20" w:before="60"/>
      </w:pPr>
      <w:r>
        <w:drawing>
          <wp:inline distT="0" distB="0" distL="0" distR="0">
            <wp:extent cx="1123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promo-feature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reference-document</w:t>
      </w:r>
    </w:p>
    <w:p>
      <w:pPr>
        <w:spacing w:after="20" w:before="60"/>
      </w:pPr>
      <w:r>
        <w:drawing>
          <wp:inline distT="0" distB="0" distL="0" distR="0">
            <wp:extent cx="32575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reference-document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inspiration-hub</w:t>
      </w:r>
    </w:p>
    <w:p>
      <w:pPr>
        <w:spacing w:after="20" w:before="60"/>
      </w:pPr>
      <w:r>
        <w:drawing>
          <wp:inline distT="0" distB="0" distL="0" distR="0">
            <wp:extent cx="3752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inspiration-hub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destination-detail</w:t>
      </w:r>
    </w:p>
    <w:p>
      <w:pPr>
        <w:spacing w:after="20" w:before="60"/>
      </w:pPr>
      <w:r>
        <w:drawing>
          <wp:inline distT="0" distB="0" distL="0" distR="0">
            <wp:extent cx="28098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destination-detail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itinerary-guide</w:t>
      </w:r>
    </w:p>
    <w:p>
      <w:pPr>
        <w:spacing w:after="20" w:before="60"/>
      </w:pPr>
      <w:r>
        <w:drawing>
          <wp:inline distT="0" distB="0" distL="0" distR="0">
            <wp:extent cx="14001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itinerary-guide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client-rendered-content</w:t>
      </w:r>
    </w:p>
    <w:p>
      <w:pPr>
        <w:spacing w:after="20" w:before="60"/>
      </w:pPr>
      <w:r>
        <w:drawing>
          <wp:inline distT="0" distB="0" distL="0" distR="0">
            <wp:extent cx="5334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client-rendered-content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manage-booking-app</w:t>
      </w:r>
    </w:p>
    <w:p>
      <w:pPr>
        <w:spacing w:after="20" w:before="60"/>
      </w:pPr>
      <w:r>
        <w:drawing>
          <wp:inline distT="0" distB="0" distL="0" distR="0">
            <wp:extent cx="52959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manage-booking-app — representative page</w:t>
      </w:r>
    </w:p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Blocks / Components Catalog</w:t>
      </w:r>
    </w:p>
    <w:p>
      <w:pPr>
        <w:spacing w:after="100"/>
      </w:pPr>
      <w:r>
        <w:rPr>
          <w:sz w:val="21"/>
          <w:szCs w:val="21"/>
        </w:rPr>
        <w:t xml:space="preserve">27 block variants catalogued and consolidated by content model — visual variations are grouped as variants of the same base block rather than as separate blocks.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1700"/>
        <w:gridCol w:w="900"/>
        <w:gridCol w:w="1200"/>
        <w:gridCol w:w="3860"/>
        <w:gridCol w:w="170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(base)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 / Functionality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(global)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Sticky nav: logo, Sign in, "My booking" flyout (Manage booking / Check in / Flight status), hamburger mega-menu.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 (global)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4-column link nav, social icons, legal/Travel-Aware notice.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Low–Med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 banner: heading over full-bleed image or solid panel; light/dark themes.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 grid — feature/promo/news cards with image, heading, text, CTA. Most-used block: 279 pages.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/en-IN/travel-news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breadcrumbs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 &gt; Section &gt; Page trail; light/dark themes.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/en-IN/corporate/engineering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columns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Multi-column image+text feature rows.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carousel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Rotating slides/gallery.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 pages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Tabbed content switcher.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 page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 table (fees/specs).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 page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Interactive form (contact/feedback).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 page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accordion / expander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Expand/collapse sections.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/en-IN/corporate/engineering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unknown / custom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Composite fragments with no standard EDS equivalent (heading+CTA+list combos, image grids, grid-item React components).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various</w:t>
            </w:r>
          </w:p>
        </w:tc>
      </w:tr>
    </w:tbl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Representative screenshots of the base blocks are shown below (one per block type).</w:t>
      </w:r>
    </w:p>
    <w:p>
      <w:pPr>
        <w:spacing w:after="80" w:before="200"/>
      </w:pPr>
      <w:r>
        <w:rPr>
          <w:b/>
          <w:bCs/>
          <w:color w:val="CC0033"/>
          <w:sz w:val="24"/>
          <w:szCs w:val="24"/>
        </w:rPr>
        <w:t xml:space="preserve">Block screenshots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header</w:t>
      </w:r>
    </w:p>
    <w:p>
      <w:pPr>
        <w:spacing w:after="20" w:before="60"/>
      </w:pPr>
      <w:r>
        <w:drawing>
          <wp:inline distT="0" distB="0" distL="0" distR="0">
            <wp:extent cx="533400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header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hero</w:t>
      </w:r>
    </w:p>
    <w:p>
      <w:pPr>
        <w:spacing w:after="20" w:before="60"/>
      </w:pPr>
      <w:r>
        <w:drawing>
          <wp:inline distT="0" distB="0" distL="0" distR="0">
            <wp:extent cx="5334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hero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breadcrumbs</w:t>
      </w:r>
    </w:p>
    <w:p>
      <w:pPr>
        <w:spacing w:after="20" w:before="60"/>
      </w:pPr>
      <w:r>
        <w:drawing>
          <wp:inline distT="0" distB="0" distL="0" distR="0">
            <wp:extent cx="53340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breadcrumbs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cards</w:t>
      </w:r>
    </w:p>
    <w:p>
      <w:pPr>
        <w:spacing w:after="20" w:before="60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cards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columns</w:t>
      </w:r>
    </w:p>
    <w:p>
      <w:pPr>
        <w:spacing w:after="20" w:before="60"/>
      </w:pPr>
      <w:r>
        <w:drawing>
          <wp:inline distT="0" distB="0" distL="0" distR="0">
            <wp:extent cx="23812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columns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carousel</w:t>
      </w:r>
    </w:p>
    <w:p>
      <w:pPr>
        <w:spacing w:after="20" w:before="60"/>
      </w:pPr>
      <w:r>
        <w:drawing>
          <wp:inline distT="0" distB="0" distL="0" distR="0">
            <wp:extent cx="5334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carousel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tabs</w:t>
      </w:r>
    </w:p>
    <w:p>
      <w:pPr>
        <w:spacing w:after="20" w:before="60"/>
      </w:pPr>
      <w:r>
        <w:drawing>
          <wp:inline distT="0" distB="0" distL="0" distR="0">
            <wp:extent cx="36480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tabs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table</w:t>
      </w:r>
    </w:p>
    <w:p>
      <w:pPr>
        <w:spacing w:after="20" w:before="60"/>
      </w:pPr>
      <w:r>
        <w:drawing>
          <wp:inline distT="0" distB="0" distL="0" distR="0">
            <wp:extent cx="53340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table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form</w:t>
      </w:r>
    </w:p>
    <w:p>
      <w:pPr>
        <w:spacing w:after="20" w:before="60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form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footer</w:t>
      </w:r>
    </w:p>
    <w:p>
      <w:pPr>
        <w:spacing w:after="20" w:before="60"/>
      </w:pPr>
      <w:r>
        <w:drawing>
          <wp:inline distT="0" distB="0" distL="0" distR="0">
            <wp:extent cx="50101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footer</w:t>
      </w:r>
    </w:p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Page Counts by Template &amp; Migration Classification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2400"/>
        <w:gridCol w:w="900"/>
        <w:gridCol w:w="2300"/>
        <w:gridCol w:w="36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Migration Path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marketing-landing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Mixed (bulk auto + QA)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Structurally uniform but hero/feature regions vary; some render client-side.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rich-text-article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49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Standardized rich text.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editorial-travel-guide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(light manual)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Consistent article structure.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client-rendered-content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not in static HTML; must be rebuilt.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accordion-content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Accordion behaviour needs block wiring.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news-listing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Dynamic card feed; needs listing logic.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promo-feature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Campaign composition varies.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reference-document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Sparse text.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inspiration-hub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Index/card grid.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destination-detail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Overview + booking prompt.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itinerary-guide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Editorial content.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manage-booking-app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 / Exclude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Transactional app, not content.</w:t>
            </w:r>
          </w:p>
        </w:tc>
      </w:tr>
      <w:tr>
        <w:tc>
          <w:tcPr>
            <w:shd w:fill="FF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F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444</w:t>
            </w:r>
          </w:p>
        </w:tc>
        <w:tc>
          <w:tcPr>
            <w:shd w:fill="FF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Auto 73 (16%)</w:t>
            </w:r>
          </w:p>
        </w:tc>
        <w:tc>
          <w:tcPr>
            <w:shd w:fill="FF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Semi-auto 353 (80%) · Manual 19 (4%)</w:t>
            </w:r>
          </w:p>
        </w:tc>
      </w:tr>
    </w:tbl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Integrations Analysis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600"/>
        <w:gridCol w:w="2100"/>
        <w:gridCol w:w="1300"/>
        <w:gridCol w:w="22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Self-hosted Tag Management (tms.virginatlantic.com/.../Bootstrap.js)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code / embed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 — loads analytics/marketing tags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Analytics data layer (window.digitalData / dataLayer)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code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Booking engine (flights. / flywith. / vaabrowse.)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External app (redirect)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Booking, manage-booking, check-in, flight-status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Facebook / Meta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Pixel + social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Low–Med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Homepage, social links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Social embeds (Instagram, Twitter/X, Pinterest, YouTube)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 / link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Footer, editorial pages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Flying Club loyalty (vsflyinghub.com)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External app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Flying Club section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Cross-property links (Cargo, Careers, Virgin Holidays)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Link-out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 / corporate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Akamai bot protection / CDN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 (impacts crawl/migration tooling)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React/Next.js runtime (__NEXT_DATA__)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Client-rendered content pages</w:t>
            </w:r>
          </w:p>
        </w:tc>
      </w:tr>
    </w:tbl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The self-hosted TMS obscures the exact downstream vendors (Adobe/Google/etc. load dynamically). A runtime network audit during migration is recommended to enumerate the full tag list.</w:t>
      </w:r>
    </w:p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Complex Use Cases &amp; Observations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500"/>
        <w:gridCol w:w="2600"/>
        <w:gridCol w:w="1300"/>
        <w:gridCol w:w="2200"/>
        <w:gridCol w:w="26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 behaviour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complex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Client-side-rendered content (React/Next)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client-rendered-content, manage-booking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absent from static HTML; must be re-authored.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Booking / transactional apps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subdomains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flights/flywith/vaabrowse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Out of EDS scope; require integration or link-out.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"My booking" flyout + session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Global header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Auth-gated actions depend on session.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Dynamic news/advisory listing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news-listing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Date-sorted feed with pagination.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Interactive blocks (accordion, tabs, carousel, form)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~21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accordion/tabs/carousel/form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Require JS behaviour beyond static content.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 custom/unknown block variants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~36 uses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across templates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 standard EDS equivalent; bespoke modeling required.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Self-hosted TMS / analytics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 vendor list hidden behind bootstrap loader.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Bot protection (Akamai)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Throttles/blocks automated import tooling.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Deep multilingual/locale sitemap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446 / ~19 locales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sitemap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en-IN content largely shared across locales; multi-locale rollout multiplies effort.</w:t>
            </w:r>
          </w:p>
        </w:tc>
      </w:tr>
    </w:tbl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7. Migration Estimates</w:t>
      </w:r>
    </w:p>
    <w:p>
      <w:pPr>
        <w:spacing w:after="100"/>
      </w:pPr>
      <w:r>
        <w:rPr>
          <w:sz w:val="21"/>
          <w:szCs w:val="21"/>
        </w:rPr>
        <w:t xml:space="preserve">Estimates cover the en-IN content layer only (446 pages, 12 templates, 27 blocks). Excludes the booking engine and other transactional apps.</w:t>
      </w:r>
    </w:p>
    <w:p>
      <w:pPr>
        <w:spacing w:after="80" w:before="200"/>
      </w:pPr>
      <w:r>
        <w:rPr>
          <w:b/>
          <w:bCs/>
          <w:color w:val="CC0033"/>
          <w:sz w:val="24"/>
          <w:szCs w:val="24"/>
        </w:rPr>
        <w:t xml:space="preserve">Effort by workstream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600"/>
        <w:gridCol w:w="1800"/>
        <w:gridCol w:w="38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development (27 variants → ~12–15 EDS blocks + variations)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12–16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Incl. 8 custom + interactive (form/tabs/carousel/accordion)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 setup (12 templates)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5–7 days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Auto-block rules, section styling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import (~73 clean pages)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2–3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Scripted bulk import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Bulk-with-QA import (~353 pages)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8–12 days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Import + per-page correction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 migration (~19 client-rendered/app pages)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Re-authoring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/ footer / navigation (global)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Mega-menu + "My booking" flyout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Integrations &amp; analytics re-implementation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TMS/data-layer/tag re-wire + runtime audit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QA &amp; testing (functional, visual, a11y, PageSpeed)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8–10 days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Lighthouse 100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Project mgmt / UAT / fixes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5–7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C0033"/>
          <w:sz w:val="24"/>
          <w:szCs w:val="24"/>
        </w:rPr>
        <w:t xml:space="preserve">Totals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72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effort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~51–72 person-days (≈ 10–14 weeks of work)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Recommended team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 developers + 1 QA + PM (part-time)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Calendar schedule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~8–10 weeks with the team above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Indicative cost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At a blended ~$600/day → ≈ $30k–$43k (adjust to your rates)</w:t>
            </w:r>
          </w:p>
        </w:tc>
      </w:tr>
    </w:tbl>
    <w:p>
      <w:pPr>
        <w:spacing w:after="80" w:before="200"/>
      </w:pPr>
      <w:r>
        <w:rPr>
          <w:b/>
          <w:bCs/>
          <w:color w:val="CC0033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1 — Blocks + templates + global navigation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2 — Automated + bulk import of the ~419 content pages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3 — Manual rebuild of the 19 dynamic pages +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4 — QA / UAT</w:t>
      </w:r>
    </w:p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8. Caveats &amp; Assumptions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site sits behind bot protection; a small number of rapid requests were throttled during discovery. Final page coverage was still 99.6%.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63 non-fatal errors logged during the run were mostly transient navigation/redirect retries on a JS-heavy site — they did not reduce final coverage.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Booking, check-in, flight-status and account flows are separate applications and are NOT included in the content-migration counts or estimates above.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Cost figures are indicative and use a placeholder blended day rate; adjust to your actual rates.</w:t>
      </w:r>
    </w:p>
    <w:p>
      <w:pPr>
        <w:pBdr>
          <w:bottom w:val="single" w:color="CC0033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9. Analysis Artifacts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400"/>
        <w:gridCol w:w="6860"/>
      </w:tblGrid>
      <w:tr>
        <w:trPr>
          <w:tblHeader/>
        </w:trPr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shd w:fill="1A1A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template-catalog.json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 named templates with page assignments and reference URLs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block-catalog.json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 block variants with usage counts and canonical models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summary.json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metrics and coverage summary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urls-all.json / urls-grouped.json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446 discovered URLs, grouped by directory pattern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.pages/{slug}/full-page.jpg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Full-page screenshot per analysed page</w:t>
            </w:r>
          </w:p>
        </w:tc>
      </w:tr>
      <w:tr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.blocks/{variant}/screenshots/</w:t>
            </w:r>
          </w:p>
        </w:tc>
        <w:tc>
          <w:tcPr>
            <w:shd w:fill="F5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Screenshots per block variant</w:t>
            </w:r>
          </w:p>
        </w:tc>
      </w:tr>
    </w:tbl>
    <w:p>
      <w:pPr>
        <w:pBdr>
          <w:top w:val="single" w:color="E2E2EA" w:sz="6" w:space="6"/>
        </w:pBdr>
        <w:spacing w:before="300"/>
      </w:pPr>
      <w:r>
        <w:rPr>
          <w:i/>
          <w:iCs/>
          <w:color w:val="5A5A6A"/>
          <w:sz w:val="16"/>
          <w:szCs w:val="16"/>
        </w:rPr>
        <w:t xml:space="preserve">Virgin Atlantic (en-IN) — EDS Migration Handover · Generated 2026-08-25 · Content-layer scope only (excludes transactional booking applications).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45d21aa94766ebf3daa832ee474272c8fe45bd.jpg"/><Relationship Id="rId8" Type="http://schemas.openxmlformats.org/officeDocument/2006/relationships/image" Target="media/7e8f309aeae3bfc1ddaa6e48b5acd030a87046f5.jpg"/><Relationship Id="rId9" Type="http://schemas.openxmlformats.org/officeDocument/2006/relationships/image" Target="media/c1a6a49df85ef3a25a4942332744a978d8e13831.jpg"/><Relationship Id="rId10" Type="http://schemas.openxmlformats.org/officeDocument/2006/relationships/image" Target="media/1f99c7f0559ebb40002bd83c877f3a70cc967dc0.jpg"/><Relationship Id="rId11" Type="http://schemas.openxmlformats.org/officeDocument/2006/relationships/image" Target="media/943bef4e3738dd9af1a5d0202d3518c434deaf59.jpg"/><Relationship Id="rId12" Type="http://schemas.openxmlformats.org/officeDocument/2006/relationships/image" Target="media/d2fc84065257cff7ce1caf2b4a1cea27c56aacb4.jpg"/><Relationship Id="rId13" Type="http://schemas.openxmlformats.org/officeDocument/2006/relationships/image" Target="media/cdf117f40ea925088d880c5d51ea613700f8693d.jpg"/><Relationship Id="rId14" Type="http://schemas.openxmlformats.org/officeDocument/2006/relationships/image" Target="media/2c69f0d64ec71efacdee4fc76a88f1106694401f.jpg"/><Relationship Id="rId15" Type="http://schemas.openxmlformats.org/officeDocument/2006/relationships/image" Target="media/2c817f1ecf7f7b1638db96ceae163448749f3614.jpg"/><Relationship Id="rId16" Type="http://schemas.openxmlformats.org/officeDocument/2006/relationships/image" Target="media/b0cce7f05d8af069c11a767d0113c2ea57807de0.jpg"/><Relationship Id="rId17" Type="http://schemas.openxmlformats.org/officeDocument/2006/relationships/image" Target="media/a4f77eecfa87f18ca02c528224e300f5b2917e1e.jpg"/><Relationship Id="rId18" Type="http://schemas.openxmlformats.org/officeDocument/2006/relationships/image" Target="media/47d47df984a9228a73cd5ba6d8b861d755eedc4f.jpg"/><Relationship Id="rId19" Type="http://schemas.openxmlformats.org/officeDocument/2006/relationships/image" Target="media/d807459193b06eb7dd549593166f4efc8e6b0227.jpg"/><Relationship Id="rId20" Type="http://schemas.openxmlformats.org/officeDocument/2006/relationships/image" Target="media/fc451461344e5b9eddbd6c7355aff14e6c84b1fe.jpg"/><Relationship Id="rId21" Type="http://schemas.openxmlformats.org/officeDocument/2006/relationships/image" Target="media/5191d3acc532520f402219bdc70014c914135f61.jpg"/><Relationship Id="rId22" Type="http://schemas.openxmlformats.org/officeDocument/2006/relationships/image" Target="media/a3948d1192e97a2feb662d69a57e65bd0ba175b4.jpg"/><Relationship Id="rId23" Type="http://schemas.openxmlformats.org/officeDocument/2006/relationships/image" Target="media/cdd2b879a84abfda1550a8b1580b176b98a0dad2.jpg"/><Relationship Id="rId24" Type="http://schemas.openxmlformats.org/officeDocument/2006/relationships/image" Target="media/e80c01891b1c52c5ce88a305b962b5597543fdea.jpg"/><Relationship Id="rId25" Type="http://schemas.openxmlformats.org/officeDocument/2006/relationships/image" Target="media/82563a91bc764e474d6075bb31013d250467f866.jpg"/><Relationship Id="rId26" Type="http://schemas.openxmlformats.org/officeDocument/2006/relationships/image" Target="media/daef710bc38ebd9b47e48ba033c5cbac5a7aafaa.jpg"/><Relationship Id="rId27" Type="http://schemas.openxmlformats.org/officeDocument/2006/relationships/image" Target="media/58bfe53bd1e3b21927eea9e79b68b7c4079a402a.jpg"/><Relationship Id="rId28" Type="http://schemas.openxmlformats.org/officeDocument/2006/relationships/image" Target="media/cf14a8f76623ce07b6ceafb7b97660c032f0472e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Virgin Atlantic (en-IN) — EDS Migration Handover</dc:title>
  <dc:creator>EDS Migration Analysis</dc:creator>
  <cp:lastModifiedBy>Un-named</cp:lastModifiedBy>
  <cp:revision>1</cp:revision>
  <dcterms:created xsi:type="dcterms:W3CDTF">2026-08-25T09:02:30.071Z</dcterms:created>
  <dcterms:modified xsi:type="dcterms:W3CDTF">2026-08-25T09:02:30.072Z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