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830051"/>
          <w:sz w:val="56"/>
          <w:szCs w:val="56"/>
        </w:rPr>
        <w:t xml:space="preserve">Website Analysis Report</w:t>
      </w:r>
    </w:p>
    <w:p>
      <w:pPr>
        <w:spacing w:before="200"/>
        <w:jc w:val="center"/>
      </w:pPr>
      <w:r>
        <w:rPr>
          <w:color w:val="C4007A"/>
          <w:sz w:val="36"/>
          <w:szCs w:val="36"/>
        </w:rPr>
        <w:t xml:space="preserve">myAstraZeneca Switzerland</w:t>
      </w:r>
    </w:p>
    <w:p>
      <w:pPr>
        <w:spacing w:before="120"/>
        <w:jc w:val="center"/>
      </w:pPr>
      <w:r>
        <w:rPr>
          <w:i/>
          <w:iCs/>
          <w:color w:val="555555"/>
          <w:sz w:val="24"/>
          <w:szCs w:val="24"/>
        </w:rPr>
        <w:t xml:space="preserve">https://www.myastrazeneca.ch/</w:t>
      </w:r>
    </w:p>
    <w:p>
      <w:pPr>
        <w:spacing w:before="600"/>
        <w:jc w:val="center"/>
      </w:pPr>
      <w:r>
        <w:rPr>
          <w:color w:val="333333"/>
          <w:sz w:val="28"/>
          <w:szCs w:val="28"/>
        </w:rPr>
        <w:t xml:space="preserve">Templates Inventory &amp; Blocks / Components Catalog</w:t>
      </w:r>
    </w:p>
    <w:p>
      <w:pPr>
        <w:spacing w:before="1600"/>
        <w:jc w:val="center"/>
      </w:pPr>
      <w:r>
        <w:rPr>
          <w:color w:val="666666"/>
          <w:sz w:val="22"/>
          <w:szCs w:val="22"/>
        </w:rPr>
        <w:t xml:space="preserve">Prepared for AEM Edge Delivery Services migration planning</w:t>
      </w:r>
    </w:p>
    <w:p>
      <w:pPr>
        <w:spacing w:before="120"/>
        <w:jc w:val="center"/>
      </w:pPr>
      <w:r>
        <w:rPr>
          <w:color w:val="666666"/>
          <w:sz w:val="22"/>
          <w:szCs w:val="22"/>
        </w:rPr>
        <w:t xml:space="preserve">Report date: 24 July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myAstraZeneca Switzerland is a medical-professional information portal published in four languages (German, French, Italian and English). It presents AstraZeneca’s therapy areas, indications, products and downloadable resources, and includes a branded disease-awareness campaign microsite ("See the PATTRNS").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0%"/>
            <w:shd w:fill="8300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pct" w:w="60%"/>
            <w:shd w:fill="8300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Site</w:t>
            </w:r>
          </w:p>
        </w:tc>
        <w:tc>
          <w:tcPr>
            <w:tcW w:type="pct" w:w="6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https://www.myastrazeneca.ch/</w:t>
            </w:r>
          </w:p>
        </w:tc>
      </w:tr>
      <w:tr>
        <w:tc>
          <w:tcPr>
            <w:tcW w:type="pct" w:w="40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URL discovery method</w:t>
            </w:r>
          </w:p>
        </w:tc>
        <w:tc>
          <w:tcPr>
            <w:tcW w:type="pct" w:w="60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XML sitemap (/sitemap.xml)</w:t>
            </w:r>
          </w:p>
        </w:tc>
      </w:tr>
      <w:tr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Total pages discovered</w:t>
            </w:r>
          </w:p>
        </w:tc>
        <w:tc>
          <w:tcPr>
            <w:tcW w:type="pct" w:w="6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105</w:t>
            </w:r>
          </w:p>
        </w:tc>
      </w:tr>
      <w:tr>
        <w:tc>
          <w:tcPr>
            <w:tcW w:type="pct" w:w="40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Languages / locales</w:t>
            </w:r>
          </w:p>
        </w:tc>
        <w:tc>
          <w:tcPr>
            <w:tcW w:type="pct" w:w="60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4 — DE 46 / FR 20 / IT 22 / EN 17</w:t>
            </w:r>
          </w:p>
        </w:tc>
      </w:tr>
      <w:tr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Pages analysed</w:t>
            </w:r>
          </w:p>
        </w:tc>
        <w:tc>
          <w:tcPr>
            <w:tcW w:type="pct" w:w="6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96 of 105 (91% coverage)</w:t>
            </w:r>
          </w:p>
        </w:tc>
      </w:tr>
      <w:tr>
        <w:tc>
          <w:tcPr>
            <w:tcW w:type="pct" w:w="40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Unique page templates</w:t>
            </w:r>
          </w:p>
        </w:tc>
        <w:tc>
          <w:tcPr>
            <w:tcW w:type="pct" w:w="60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12</w:t>
            </w:r>
          </w:p>
        </w:tc>
      </w:tr>
      <w:tr>
        <w:tc>
          <w:tcPr>
            <w:tcW w:type="pct" w:w="4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Reusable blocks / components</w:t>
            </w:r>
          </w:p>
        </w:tc>
        <w:tc>
          <w:tcPr>
            <w:tcW w:type="pct" w:w="6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9 logical blocks (30 design variations detected)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Note on coverage: 9 pages could not be captured because the source site rate-limited (HTTP 403) or returned server errors (HTTP 500/404) during crawling. All affected pages belong to template groups that were successfully analysed via other localized pages, so template and block coverage is complete.</w:t>
      </w:r>
    </w:p>
    <w:p>
      <w:r>
        <w:br w:type="page"/>
      </w:r>
    </w:p>
    <w:p>
      <w:pPr>
        <w:pStyle w:val="Heading1"/>
      </w:pPr>
      <w:r>
        <w:t xml:space="preserve">1. Templates Inventory</w:t>
      </w:r>
    </w:p>
    <w:p>
      <w:pPr>
        <w:spacing w:after="120"/>
      </w:pPr>
      <w:r>
        <w:t xml:space="preserve">The site is built from 12 unique page templates. The table below summarises each template; detailed descriptions and reference screenshots follow.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8300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Template</w:t>
            </w:r>
          </w:p>
        </w:tc>
        <w:tc>
          <w:tcPr>
            <w:tcW w:type="pct" w:w="14%"/>
            <w:shd w:fill="8300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Complexity</w:t>
            </w:r>
          </w:p>
        </w:tc>
        <w:tc>
          <w:tcPr>
            <w:tcW w:type="pct" w:w="10%"/>
            <w:shd w:fill="8300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Pages</w:t>
            </w:r>
          </w:p>
        </w:tc>
        <w:tc>
          <w:tcPr>
            <w:tcW w:type="pct" w:w="50%"/>
            <w:shd w:fill="8300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Reference URL (example)</w:t>
            </w:r>
          </w:p>
        </w:tc>
      </w:tr>
      <w:tr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Homepage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homepage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00020"/>
              </w:rPr>
              <w:t xml:space="preserve">High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4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https://www.myastrazeneca.ch/de/startseite.html</w:t>
            </w:r>
          </w:p>
        </w:tc>
      </w:tr>
      <w:tr>
        <w:tc>
          <w:tcPr>
            <w:tcW w:type="pct" w:w="26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Indication / disease detail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indication-detail</w:t>
            </w:r>
          </w:p>
        </w:tc>
        <w:tc>
          <w:tcPr>
            <w:tcW w:type="pct" w:w="14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00020"/>
              </w:rPr>
              <w:t xml:space="preserve">High</w:t>
            </w:r>
          </w:p>
        </w:tc>
        <w:tc>
          <w:tcPr>
            <w:tcW w:type="pct" w:w="10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37</w:t>
            </w:r>
          </w:p>
        </w:tc>
        <w:tc>
          <w:tcPr>
            <w:tcW w:type="pct" w:w="50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https://www.myastrazeneca.ch/de/startseite/therapiegebiete/cvrm/acutecare.html</w:t>
            </w:r>
          </w:p>
        </w:tc>
      </w:tr>
      <w:tr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Product listing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product-listing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4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https://www.myastrazeneca.ch/de/startseite/produkte.html</w:t>
            </w:r>
          </w:p>
        </w:tc>
      </w:tr>
      <w:tr>
        <w:tc>
          <w:tcPr>
            <w:tcW w:type="pct" w:w="26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Product detail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product-detail</w:t>
            </w:r>
          </w:p>
        </w:tc>
        <w:tc>
          <w:tcPr>
            <w:tcW w:type="pct" w:w="14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10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7</w:t>
            </w:r>
          </w:p>
        </w:tc>
        <w:tc>
          <w:tcPr>
            <w:tcW w:type="pct" w:w="50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https://www.myastrazeneca.ch/de/startseite/produkte/trixeo/aerosphere-technologie.html</w:t>
            </w:r>
          </w:p>
        </w:tc>
      </w:tr>
      <w:tr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Resource detail (gated download)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resource-detail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17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https://www.myastrazeneca.ch/de/startseite/produkte/trixeo/ressourcen/3-molekuele-der-dreifachtherapie-gegen-kardiopulmonales-risiko-de.html</w:t>
            </w:r>
          </w:p>
        </w:tc>
      </w:tr>
      <w:tr>
        <w:tc>
          <w:tcPr>
            <w:tcW w:type="pct" w:w="26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Resource listing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resource-listing</w:t>
            </w:r>
          </w:p>
        </w:tc>
        <w:tc>
          <w:tcPr>
            <w:tcW w:type="pct" w:w="14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D32"/>
              </w:rPr>
              <w:t xml:space="preserve">Low</w:t>
            </w:r>
          </w:p>
        </w:tc>
        <w:tc>
          <w:tcPr>
            <w:tcW w:type="pct" w:w="10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1</w:t>
            </w:r>
          </w:p>
        </w:tc>
        <w:tc>
          <w:tcPr>
            <w:tcW w:type="pct" w:w="50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https://www.myastrazeneca.ch/de/startseite/produkte/trixeo/ressourcen.html</w:t>
            </w:r>
          </w:p>
        </w:tc>
      </w:tr>
      <w:tr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Contact form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contact-form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11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https://www.myastrazeneca.ch/de/startseite/contact-us.html</w:t>
            </w:r>
          </w:p>
        </w:tc>
      </w:tr>
      <w:tr>
        <w:tc>
          <w:tcPr>
            <w:tcW w:type="pct" w:w="26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Campaign microsite – landing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campaign-microsite-landing</w:t>
            </w:r>
          </w:p>
        </w:tc>
        <w:tc>
          <w:tcPr>
            <w:tcW w:type="pct" w:w="14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00020"/>
              </w:rPr>
              <w:t xml:space="preserve">High</w:t>
            </w:r>
          </w:p>
        </w:tc>
        <w:tc>
          <w:tcPr>
            <w:tcW w:type="pct" w:w="10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9</w:t>
            </w:r>
          </w:p>
        </w:tc>
        <w:tc>
          <w:tcPr>
            <w:tcW w:type="pct" w:w="50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https://www.myastrazeneca.ch/fr/startseite/therapiegebiete/cvrm/see-the-pattrns/about-amylodosis-attr.html</w:t>
            </w:r>
          </w:p>
        </w:tc>
      </w:tr>
      <w:tr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Campaign microsite – overview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campaign-microsite-overview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00020"/>
              </w:rPr>
              <w:t xml:space="preserve">High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2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https://www.myastrazeneca.ch/de/startseite/therapiegebiete/cvrm/see-the-pattrns/about-amylodosis-attr.html</w:t>
            </w:r>
          </w:p>
        </w:tc>
      </w:tr>
      <w:tr>
        <w:tc>
          <w:tcPr>
            <w:tcW w:type="pct" w:w="26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Campaign microsite – diagnosis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campaign-microsite-diagnosis</w:t>
            </w:r>
          </w:p>
        </w:tc>
        <w:tc>
          <w:tcPr>
            <w:tcW w:type="pct" w:w="14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00020"/>
              </w:rPr>
              <w:t xml:space="preserve">High</w:t>
            </w:r>
          </w:p>
        </w:tc>
        <w:tc>
          <w:tcPr>
            <w:tcW w:type="pct" w:w="10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2</w:t>
            </w:r>
          </w:p>
        </w:tc>
        <w:tc>
          <w:tcPr>
            <w:tcW w:type="pct" w:w="50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https://www.myastrazeneca.ch/de/startseite/therapiegebiete/cvrm/see-the-pattrns/diagnosis.html</w:t>
            </w:r>
          </w:p>
        </w:tc>
      </w:tr>
      <w:tr>
        <w:tc>
          <w:tcPr>
            <w:tcW w:type="pct" w:w="26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Campaign microsite – symptoms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campaign-microsite-symptoms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1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1</w:t>
            </w:r>
          </w:p>
        </w:tc>
        <w:tc>
          <w:tcPr>
            <w:tcW w:type="pct" w:w="5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https://www.myastrazeneca.ch/de/startseite/therapiegebiete/cvrm/see-the-pattrns/symptomes.html</w:t>
            </w:r>
          </w:p>
        </w:tc>
      </w:tr>
      <w:tr>
        <w:tc>
          <w:tcPr>
            <w:tcW w:type="pct" w:w="26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Campaign microsite – treatment</w:t>
            </w:r>
          </w:p>
          <w:p>
            <w:r>
              <w:rPr>
                <w:i/>
                <w:iCs/>
                <w:color w:val="777777"/>
                <w:sz w:val="18"/>
                <w:szCs w:val="18"/>
              </w:rPr>
              <w:t xml:space="preserve">campaign-microsite-treatment</w:t>
            </w:r>
          </w:p>
        </w:tc>
        <w:tc>
          <w:tcPr>
            <w:tcW w:type="pct" w:w="14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10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1</w:t>
            </w:r>
          </w:p>
        </w:tc>
        <w:tc>
          <w:tcPr>
            <w:tcW w:type="pct" w:w="50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155CC"/>
                <w:sz w:val="18"/>
                <w:szCs w:val="18"/>
              </w:rPr>
              <w:t xml:space="preserve">https://www.myastrazeneca.ch/de/startseite/therapiegebiete/cvrm/see-the-pattrns/treatement.html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1.1 Template details</w:t>
      </w:r>
    </w:p>
    <w:p>
      <w:pPr>
        <w:pStyle w:val="Heading3"/>
      </w:pPr>
      <w:r>
        <w:t xml:space="preserve">1. Homepage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homepage</w:t>
      </w:r>
      <w:r>
        <w:rPr>
          <w:b/>
          <w:bCs/>
        </w:rPr>
        <w:t xml:space="preserve">    Complexity: </w:t>
      </w:r>
      <w:r>
        <w:rPr>
          <w:b/>
          <w:bCs/>
          <w:color w:val="B00020"/>
        </w:rPr>
        <w:t xml:space="preserve">High</w:t>
      </w:r>
      <w:r>
        <w:rPr>
          <w:b/>
          <w:bCs/>
        </w:rPr>
        <w:t xml:space="preserve">    Pages using: </w:t>
      </w:r>
      <w:r>
        <w:t xml:space="preserve">4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Multiple distinct block types stacked: full-width hero, intro copy, three-column therapy-area cards with per-column CTAs and imagery, and an image + CTA product-promo band. Rich layout composition.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https://www.myastrazeneca.ch/en/startseite.html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https://www.myastrazeneca.ch/fr/startseite.html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https://www.myastrazeneca.ch/it/startseite.html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32766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2. Indication / disease detail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indication-detail</w:t>
      </w:r>
      <w:r>
        <w:rPr>
          <w:b/>
          <w:bCs/>
        </w:rPr>
        <w:t xml:space="preserve">    Complexity: </w:t>
      </w:r>
      <w:r>
        <w:rPr>
          <w:b/>
          <w:bCs/>
          <w:color w:val="B00020"/>
        </w:rPr>
        <w:t xml:space="preserve">High</w:t>
      </w:r>
      <w:r>
        <w:rPr>
          <w:b/>
          <w:bCs/>
        </w:rPr>
        <w:t xml:space="preserve">    Pages using: </w:t>
      </w:r>
      <w:r>
        <w:t xml:space="preserve">37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Longest and richest template (37 pages). Title banner, intro, three-column stat/icon cards, several alternating text-and-image content sections, reference/footnote lists, and a product-promo CTA.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https://www.myastrazeneca.ch/de/startseite/therapiegebiete/cvrm/acutecare.html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https://www.myastrazeneca.ch/de/startseite/therapiegebiete/cvrm/chronischeniereninsuffizienz.html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https://www.myastrazeneca.ch/de/startseite/therapiegebiete/cvrm/diabetes.html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https://www.myastrazeneca.ch/de/startseite/therapiegebiete/cvrm/herzinsuffizienz.html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  <w:color w:val="777777"/>
          <w:sz w:val="18"/>
          <w:szCs w:val="18"/>
        </w:rPr>
        <w:t xml:space="preserve">… and 33 more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196215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3. Product listing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product-listing</w:t>
      </w:r>
      <w:r>
        <w:rPr>
          <w:b/>
          <w:bCs/>
        </w:rPr>
        <w:t xml:space="preserve">    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Pages using: </w:t>
      </w:r>
      <w:r>
        <w:t xml:space="preserve">4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Page-title banner, category tab bar, a grid of product cards each with CTA button, and a full-width image CTA band. Interactive tabs raise it above a plain listing.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https://www.myastrazeneca.ch/de/startseite/produkte.html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https://www.myastrazeneca.ch/en/startseite/produkte.html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https://www.myastrazeneca.ch/fr/startseite/produkte.html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https://www.myastrazeneca.ch/it/startseite/produkte.html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3248025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4. Product detail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product-detail</w:t>
      </w:r>
      <w:r>
        <w:rPr>
          <w:b/>
          <w:bCs/>
        </w:rPr>
        <w:t xml:space="preserve">    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Pages using: </w:t>
      </w:r>
      <w:r>
        <w:t xml:space="preserve">7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Breadcrumb, horizontal product sub-navigation tab bar, heading and rich text body. Consistent structure; interactivity limited to the tab navigation.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https://www.myastrazeneca.ch/de/startseite/produkte/trixeo/aerosphere-technologie.html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https://www.myastrazeneca.ch/de/startseite/produkte/trixeo/copd-management.html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https://www.myastrazeneca.ch/de/startseite/produkte/trixeo/events.html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https://www.myastrazeneca.ch/de/startseite/produkte/trixeo/sicherheit.html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  <w:color w:val="777777"/>
          <w:sz w:val="18"/>
          <w:szCs w:val="18"/>
        </w:rPr>
        <w:t xml:space="preserve">… and 3 more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36195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5. Resource detail (gated download)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resource-detail</w:t>
      </w:r>
      <w:r>
        <w:rPr>
          <w:b/>
          <w:bCs/>
        </w:rPr>
        <w:t xml:space="preserve">    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Pages using: </w:t>
      </w:r>
      <w:r>
        <w:t xml:space="preserve">17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Breadcrumb, large heading, descriptive text and a registration-gated download note. Simple layout but with gated-content / download behaviour (17 pages).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https://www.myastrazeneca.ch/de/startseite/produkte/trixeo/ressourcen/3-molekuele-der-dreifachtherapie-gegen-kardiopulmonales-risiko-de.html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https://www.myastrazeneca.ch/de/startseite/produkte/trixeo/ressourcen/anwendungsbroschuere-trixeo-aerosphere-de.html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https://www.myastrazeneca.ch/de/startseite/produkte/trixeo/ressourcen/anwendungskarte-trixeo-aerosphere-de.html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https://www.myastrazeneca.ch/de/startseite/produkte/trixeo/ressourcen/checkliste-fuer-copd-exazerbationen-de.html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  <w:color w:val="777777"/>
          <w:sz w:val="18"/>
          <w:szCs w:val="18"/>
        </w:rPr>
        <w:t xml:space="preserve">… and 13 more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3619500" cy="2266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6. Resource listing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resource-listing</w:t>
      </w:r>
      <w:r>
        <w:rPr>
          <w:b/>
          <w:bCs/>
        </w:rPr>
        <w:t xml:space="preserve">    Complexity: </w:t>
      </w:r>
      <w:r>
        <w:rPr>
          <w:b/>
          <w:bCs/>
          <w:color w:val="2E7D32"/>
        </w:rPr>
        <w:t xml:space="preserve">Low</w:t>
      </w:r>
      <w:r>
        <w:rPr>
          <w:b/>
          <w:bCs/>
        </w:rPr>
        <w:t xml:space="preserve">    Pages using: </w:t>
      </w:r>
      <w:r>
        <w:t xml:space="preserve">1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Structurally identical to product-detail (breadcrumb + product tab bar + heading + intro text) but serves as the resources hub. Minimal unique composition.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https://www.myastrazeneca.ch/de/startseite/produkte/trixeo/ressourcen.html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3619500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7. Contact form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contact-form</w:t>
      </w:r>
      <w:r>
        <w:rPr>
          <w:b/>
          <w:bCs/>
        </w:rPr>
        <w:t xml:space="preserve">    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Pages using: </w:t>
      </w:r>
      <w:r>
        <w:t xml:space="preserve">11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Title banner plus a multi-field contact form with select, textarea, consent checkboxes and submit — form validation and submission behaviour add functional complexity (11 localized pages).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https://www.myastrazeneca.ch/de/startseite/contact-us.html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https://www.myastrazeneca.ch/de/startseite/therapiegebiete/onkologie/brustkrebs.html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https://www.myastrazeneca.ch/en/startseite/contact-us.html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https://www.myastrazeneca.ch/en/startseite/therapiegebiete.html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  <w:color w:val="777777"/>
          <w:sz w:val="18"/>
          <w:szCs w:val="18"/>
        </w:rPr>
        <w:t xml:space="preserve">… and 7 more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3619500" cy="3724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8. Campaign microsite – landing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campaign-microsite-landing</w:t>
      </w:r>
      <w:r>
        <w:rPr>
          <w:b/>
          <w:bCs/>
        </w:rPr>
        <w:t xml:space="preserve">    Complexity: </w:t>
      </w:r>
      <w:r>
        <w:rPr>
          <w:b/>
          <w:bCs/>
          <w:color w:val="B00020"/>
        </w:rPr>
        <w:t xml:space="preserve">High</w:t>
      </w:r>
      <w:r>
        <w:rPr>
          <w:b/>
          <w:bCs/>
        </w:rPr>
        <w:t xml:space="preserve">    Pages using: </w:t>
      </w:r>
      <w:r>
        <w:t xml:space="preserve">9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Custom-branded dark-theme campaign ("See the PATTRNS") with bespoke header/sub-nav, hero, icon stat blocks, illustrated process diagram, embedded video, comparison cards, and circular stat gauges. Heavy custom design.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https://www.myastrazeneca.ch/fr/startseite/therapiegebiete/cvrm/see-the-pattrns/about-amylodosis-attr.html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https://www.myastrazeneca.ch/fr/startseite/therapiegebiete/cvrm/see-the-pattrns/home.html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https://www.myastrazeneca.ch/fr/startseite/therapiegebiete/cvrm/see-the-pattrns/symptomes.html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https://www.myastrazeneca.ch/fr/startseite/therapiegebiete/cvrm/see-the-pattrns/treatement.html</w:t>
      </w:r>
    </w:p>
    <w:p>
      <w:pPr>
        <w:pStyle w:val="ListParagraph"/>
        <w:numPr>
          <w:ilvl w:val="0"/>
          <w:numId w:val="1"/>
        </w:numPr>
      </w:pPr>
      <w:r>
        <w:rPr>
          <w:i/>
          <w:iCs/>
          <w:color w:val="777777"/>
          <w:sz w:val="18"/>
          <w:szCs w:val="18"/>
        </w:rPr>
        <w:t xml:space="preserve">… and 5 more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27432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9. Campaign microsite – overview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campaign-microsite-overview</w:t>
      </w:r>
      <w:r>
        <w:rPr>
          <w:b/>
          <w:bCs/>
        </w:rPr>
        <w:t xml:space="preserve">    Complexity: </w:t>
      </w:r>
      <w:r>
        <w:rPr>
          <w:b/>
          <w:bCs/>
          <w:color w:val="B00020"/>
        </w:rPr>
        <w:t xml:space="preserve">High</w:t>
      </w:r>
      <w:r>
        <w:rPr>
          <w:b/>
          <w:bCs/>
        </w:rPr>
        <w:t xml:space="preserve">    Pages using: </w:t>
      </w:r>
      <w:r>
        <w:t xml:space="preserve">2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Campaign sub-page (dark theme) mixing icon stat blocks, illustrated diagrams and text/image sections beneath the campaign hero and sub-nav.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https://www.myastrazeneca.ch/de/startseite/therapiegebiete/cvrm/see-the-pattrns/about-amylodosis-attr.html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https://www.myastrazeneca.ch/de/startseite/therapiegebiete/cvrm/see-the-pattrns/home.html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11430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10. Campaign microsite – diagnosis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campaign-microsite-diagnosis</w:t>
      </w:r>
      <w:r>
        <w:rPr>
          <w:b/>
          <w:bCs/>
        </w:rPr>
        <w:t xml:space="preserve">    Complexity: </w:t>
      </w:r>
      <w:r>
        <w:rPr>
          <w:b/>
          <w:bCs/>
          <w:color w:val="B00020"/>
        </w:rPr>
        <w:t xml:space="preserve">High</w:t>
      </w:r>
      <w:r>
        <w:rPr>
          <w:b/>
          <w:bCs/>
        </w:rPr>
        <w:t xml:space="preserve">    Pages using: </w:t>
      </w:r>
      <w:r>
        <w:t xml:space="preserve">2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Campaign sub-page with multi-step illustrated diagnosis-pathway flow diagrams, stat cards, gated download and comparison cards on the dark campaign theme.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https://www.myastrazeneca.ch/de/startseite/therapiegebiete/cvrm/see-the-pattrns/diagnosis.html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https://www.myastrazeneca.ch/fr/startseite/therapiegebiete/cvrm/see-the-pattrns/diagnosis.html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142875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11. Campaign microsite – symptoms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campaign-microsite-symptoms</w:t>
      </w:r>
      <w:r>
        <w:rPr>
          <w:b/>
          <w:bCs/>
        </w:rPr>
        <w:t xml:space="preserve">    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Pages using: </w:t>
      </w:r>
      <w:r>
        <w:t xml:space="preserve">1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Campaign sub-page on the dark theme; hero plus symptom-focused icon blocks and text/image content sections. Fewer distinct block types than the landing page.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https://www.myastrazeneca.ch/de/startseite/therapiegebiete/cvrm/see-the-pattrns/symptomes.html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131445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12. Campaign microsite – treatment</w:t>
      </w:r>
    </w:p>
    <w:p>
      <w:pPr>
        <w:spacing w:after="100"/>
      </w:pPr>
      <w:r>
        <w:rPr>
          <w:b/>
          <w:bCs/>
        </w:rPr>
        <w:t xml:space="preserve">Identifier: </w:t>
      </w:r>
      <w:r>
        <w:rPr>
          <w:i/>
          <w:iCs/>
        </w:rPr>
        <w:t xml:space="preserve">campaign-microsite-treatment</w:t>
      </w:r>
      <w:r>
        <w:rPr>
          <w:b/>
          <w:bCs/>
        </w:rPr>
        <w:t xml:space="preserve">    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Pages using: </w:t>
      </w:r>
      <w:r>
        <w:t xml:space="preserve">1</w:t>
      </w:r>
    </w:p>
    <w:p>
      <w:pPr>
        <w:spacing w:after="100"/>
      </w:pPr>
      <w:r>
        <w:rPr>
          <w:b/>
          <w:bCs/>
        </w:rPr>
        <w:t xml:space="preserve">Reasoning: </w:t>
      </w:r>
      <w:r>
        <w:t xml:space="preserve">Campaign sub-page on the dark theme; hero plus treatment-focused content sections with illustrations and references.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https://www.myastrazeneca.ch/de/startseite/therapiegebiete/cvrm/see-the-pattrns/treatement.html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222885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2. Blocks / Components Catalog</w:t>
      </w:r>
    </w:p>
    <w:p>
      <w:pPr>
        <w:spacing w:after="120"/>
      </w:pPr>
      <w:r>
        <w:t xml:space="preserve">The site is composed of the reusable blocks below. Following the migration convention, visually different layouts that share the same content model are treated as design variations of a single block rather than separate blocks. In total the automated analysis detected 30 design variations across these blocks.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8300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Block / Component</w:t>
            </w:r>
          </w:p>
        </w:tc>
        <w:tc>
          <w:tcPr>
            <w:tcW w:type="pct" w:w="14%"/>
            <w:shd w:fill="8300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Complexity</w:t>
            </w:r>
          </w:p>
        </w:tc>
        <w:tc>
          <w:tcPr>
            <w:tcW w:type="pct" w:w="14%"/>
            <w:shd w:fill="8300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Approx. pages</w:t>
            </w:r>
          </w:p>
        </w:tc>
        <w:tc>
          <w:tcPr>
            <w:tcW w:type="pct" w:w="42%"/>
            <w:shd w:fill="83005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Design variations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Header / Global Navigation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105</w:t>
            </w:r>
          </w:p>
        </w:tc>
        <w:tc>
          <w:tcPr>
            <w:tcW w:type="pct" w:w="4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Single global variant. On the "See the PATTRNS" campaign microsite it is replaced by a bespoke dark-theme campaign header + sub-nav.</w:t>
            </w:r>
          </w:p>
        </w:tc>
      </w:tr>
      <w:tr>
        <w:tc>
          <w:tcPr>
            <w:tcW w:type="pct" w:w="30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Footer / Global</w:t>
            </w:r>
          </w:p>
        </w:tc>
        <w:tc>
          <w:tcPr>
            <w:tcW w:type="pct" w:w="14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D32"/>
              </w:rPr>
              <w:t xml:space="preserve">Low</w:t>
            </w:r>
          </w:p>
        </w:tc>
        <w:tc>
          <w:tcPr>
            <w:tcW w:type="pct" w:w="14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105</w:t>
            </w:r>
          </w:p>
        </w:tc>
        <w:tc>
          <w:tcPr>
            <w:tcW w:type="pct" w:w="42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Single global variant reused on every page.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Hero / Page-title banner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60</w:t>
            </w:r>
          </w:p>
        </w:tc>
        <w:tc>
          <w:tcPr>
            <w:tcW w:type="pct" w:w="4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Several design variations sharing one content model (heading + optional text + background image): (a) full-bleed dark network image on the homepage; (b) solid magenta title band on listing/detail pages; (c) dark starfield campaign hero on the "See the PATTRNS" microsite.</w:t>
            </w:r>
          </w:p>
        </w:tc>
      </w:tr>
      <w:tr>
        <w:tc>
          <w:tcPr>
            <w:tcW w:type="pct" w:w="30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Cards (Therapy-area / Product / Stat)</w:t>
            </w:r>
          </w:p>
        </w:tc>
        <w:tc>
          <w:tcPr>
            <w:tcW w:type="pct" w:w="14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14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5</w:t>
            </w:r>
          </w:p>
        </w:tc>
        <w:tc>
          <w:tcPr>
            <w:tcW w:type="pct" w:w="42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Design variations on a shared "collection of cards" model — coloured therapy-area cards (light), stat/icon cards (light), and dark-theme campaign stat cards. Product cards on the listing page use the same card pattern with a CTA button per card.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Tabs / Section sub-navigation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4</w:t>
            </w:r>
          </w:p>
        </w:tc>
        <w:tc>
          <w:tcPr>
            <w:tcW w:type="pct" w:w="4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Two variations of the same tab model differing only in the number of tab items / linked resources (product sub-nav vs. therapy-area filter).</w:t>
            </w:r>
          </w:p>
        </w:tc>
      </w:tr>
      <w:tr>
        <w:tc>
          <w:tcPr>
            <w:tcW w:type="pct" w:w="30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Columns / Text + Image content</w:t>
            </w:r>
          </w:p>
        </w:tc>
        <w:tc>
          <w:tcPr>
            <w:tcW w:type="pct" w:w="14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14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84</w:t>
            </w:r>
          </w:p>
        </w:tc>
        <w:tc>
          <w:tcPr>
            <w:tcW w:type="pct" w:w="42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Design variations of a shared heading+text+image(s) model: light theme (indication pages), dark theme with illustrations/diagrams (campaign microsite), and multi-image process-diagram rows.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Image / Diagram group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51</w:t>
            </w:r>
          </w:p>
        </w:tc>
        <w:tc>
          <w:tcPr>
            <w:tcW w:type="pct" w:w="4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Multiple design variations grouped by image count (single image, 2-image, 4-image and 6-image diagram groups), all on a shared "image collection" model, predominantly on the dark campaign theme.</w:t>
            </w:r>
          </w:p>
        </w:tc>
      </w:tr>
      <w:tr>
        <w:tc>
          <w:tcPr>
            <w:tcW w:type="pct" w:w="30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CTA / Promo band</w:t>
            </w:r>
          </w:p>
        </w:tc>
        <w:tc>
          <w:tcPr>
            <w:tcW w:type="pct" w:w="14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2E7D32"/>
              </w:rPr>
              <w:t xml:space="preserve">Low</w:t>
            </w:r>
          </w:p>
        </w:tc>
        <w:tc>
          <w:tcPr>
            <w:tcW w:type="pct" w:w="14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28</w:t>
            </w:r>
          </w:p>
        </w:tc>
        <w:tc>
          <w:tcPr>
            <w:tcW w:type="pct" w:w="42%"/>
            <w:shd w:fill="FAF3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Design variations of a shared heading+text+CTA model: full-width image promo band (homepage/listing), light inline CTA (indication pages), and dark campaign contact prompt.</w:t>
            </w:r>
          </w:p>
        </w:tc>
      </w:tr>
      <w:tr>
        <w:tc>
          <w:tcPr>
            <w:tcW w:type="pct" w:w="30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Contact form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B26A00"/>
              </w:rPr>
              <w:t xml:space="preserve">Medium</w:t>
            </w:r>
          </w:p>
        </w:tc>
        <w:tc>
          <w:tcPr>
            <w:tcW w:type="pct" w:w="14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120"/>
            </w:pPr>
            <w:r>
              <w:t xml:space="preserve">4</w:t>
            </w:r>
          </w:p>
        </w:tc>
        <w:tc>
          <w:tcPr>
            <w:tcW w:type="pct" w:w="42%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Design variations of one form model differing by field set (with/without the message textarea and consent list) across the localized contact pages.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2.1 Block details</w:t>
      </w:r>
    </w:p>
    <w:p>
      <w:pPr>
        <w:pStyle w:val="Heading3"/>
      </w:pPr>
      <w:r>
        <w:t xml:space="preserve">1. Header / Global Navigation</w:t>
      </w:r>
    </w:p>
    <w:p>
      <w:pPr>
        <w:spacing w:after="100"/>
      </w:pPr>
      <w:r>
        <w:rPr>
          <w:b/>
          <w:bCs/>
        </w:rPr>
        <w:t xml:space="preserve">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Approx. pages using: </w:t>
      </w:r>
      <w:r>
        <w:t xml:space="preserve">105</w:t>
      </w:r>
    </w:p>
    <w:p>
      <w:pPr>
        <w:spacing w:after="100"/>
      </w:pPr>
      <w:r>
        <w:rPr>
          <w:b/>
          <w:bCs/>
        </w:rPr>
        <w:t xml:space="preserve">Behaviour &amp; functionality: </w:t>
      </w:r>
      <w:r>
        <w:t xml:space="preserve">Site-wide top navigation: AstraZeneca logo, primary menu ("Unsere Arzneimittel", "Therapiegebiete") with dropdown fly-outs, a "Kontaktieren Sie uns" link, search toggle, login ("Anmelden") button and a language switcher (DE / EN / FR / IT). Sticky across all pages.</w:t>
      </w:r>
    </w:p>
    <w:p>
      <w:pPr>
        <w:spacing w:after="100"/>
      </w:pPr>
      <w:r>
        <w:rPr>
          <w:b/>
          <w:bCs/>
        </w:rPr>
        <w:t xml:space="preserve">Design variations: </w:t>
      </w:r>
      <w:r>
        <w:t xml:space="preserve">Single global variant. On the "See the PATTRNS" campaign microsite it is replaced by a bespoke dark-theme campaign header + sub-nav.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4000500" cy="161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2. Footer / Global</w:t>
      </w:r>
    </w:p>
    <w:p>
      <w:pPr>
        <w:spacing w:after="100"/>
      </w:pPr>
      <w:r>
        <w:rPr>
          <w:b/>
          <w:bCs/>
        </w:rPr>
        <w:t xml:space="preserve">Complexity: </w:t>
      </w:r>
      <w:r>
        <w:rPr>
          <w:b/>
          <w:bCs/>
          <w:color w:val="2E7D32"/>
        </w:rPr>
        <w:t xml:space="preserve">Low</w:t>
      </w:r>
      <w:r>
        <w:rPr>
          <w:b/>
          <w:bCs/>
        </w:rPr>
        <w:t xml:space="preserve">    Approx. pages using: </w:t>
      </w:r>
      <w:r>
        <w:t xml:space="preserve">105</w:t>
      </w:r>
    </w:p>
    <w:p>
      <w:pPr>
        <w:spacing w:after="100"/>
      </w:pPr>
      <w:r>
        <w:rPr>
          <w:b/>
          <w:bCs/>
        </w:rPr>
        <w:t xml:space="preserve">Behaviour &amp; functionality: </w:t>
      </w:r>
      <w:r>
        <w:t xml:space="preserve">Site-wide footer with AstraZeneca logo, medical-professional disclaimer, and two link columns (Cookie policy, contact, data protection, terms of use, adverse-event reporting, quality complaints, medical enquiries). Revision-date / job code shown on content pages.</w:t>
      </w:r>
    </w:p>
    <w:p>
      <w:pPr>
        <w:spacing w:after="100"/>
      </w:pPr>
      <w:r>
        <w:rPr>
          <w:b/>
          <w:bCs/>
        </w:rPr>
        <w:t xml:space="preserve">Design variations: </w:t>
      </w:r>
      <w:r>
        <w:t xml:space="preserve">Single global variant reused on every page.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4000500" cy="695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3. Hero / Page-title banner</w:t>
      </w:r>
    </w:p>
    <w:p>
      <w:pPr>
        <w:spacing w:after="100"/>
      </w:pPr>
      <w:r>
        <w:rPr>
          <w:b/>
          <w:bCs/>
        </w:rPr>
        <w:t xml:space="preserve">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Approx. pages using: </w:t>
      </w:r>
      <w:r>
        <w:t xml:space="preserve">60</w:t>
      </w:r>
    </w:p>
    <w:p>
      <w:pPr>
        <w:spacing w:after="100"/>
      </w:pPr>
      <w:r>
        <w:rPr>
          <w:b/>
          <w:bCs/>
        </w:rPr>
        <w:t xml:space="preserve">Behaviour &amp; functionality: </w:t>
      </w:r>
      <w:r>
        <w:t xml:space="preserve">Full-width banner at the top of content pages. Carries the page title (and on the homepage an intro sub-heading) over a coloured or dark image background. Used as the visual entry point of nearly every template.</w:t>
      </w:r>
    </w:p>
    <w:p>
      <w:pPr>
        <w:spacing w:after="100"/>
      </w:pPr>
      <w:r>
        <w:rPr>
          <w:b/>
          <w:bCs/>
        </w:rPr>
        <w:t xml:space="preserve">Design variations: </w:t>
      </w:r>
      <w:r>
        <w:t xml:space="preserve">Several design variations sharing one content model (heading + optional text + background image): (a) full-bleed dark network image on the homepage; (b) solid magenta title band on listing/detail pages; (c) dark starfield campaign hero on the "See the PATTRNS" microsite.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https://www.myastrazeneca.ch/de/startseite/produkte.html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40005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 w:before="60"/>
        <w:jc w:val="center"/>
      </w:pPr>
      <w:r>
        <w:rPr>
          <w:i/>
          <w:iCs/>
          <w:color w:val="777777"/>
          <w:sz w:val="18"/>
          <w:szCs w:val="18"/>
        </w:rPr>
        <w:t xml:space="preserve">Coloured indication title banner variation</w:t>
      </w:r>
    </w:p>
    <w:p>
      <w:pPr>
        <w:jc w:val="center"/>
      </w:pPr>
      <w:r>
        <w:drawing>
          <wp:inline distT="0" distB="0" distL="0" distR="0">
            <wp:extent cx="4000500" cy="523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4. Cards (Therapy-area / Product / Stat)</w:t>
      </w:r>
    </w:p>
    <w:p>
      <w:pPr>
        <w:spacing w:after="100"/>
      </w:pPr>
      <w:r>
        <w:rPr>
          <w:b/>
          <w:bCs/>
        </w:rPr>
        <w:t xml:space="preserve">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Approx. pages using: </w:t>
      </w:r>
      <w:r>
        <w:t xml:space="preserve">5</w:t>
      </w:r>
    </w:p>
    <w:p>
      <w:pPr>
        <w:spacing w:after="100"/>
      </w:pPr>
      <w:r>
        <w:rPr>
          <w:b/>
          <w:bCs/>
        </w:rPr>
        <w:t xml:space="preserve">Behaviour &amp; functionality: </w:t>
      </w:r>
      <w:r>
        <w:t xml:space="preserve">Multi-column card grid. On the homepage: three therapy-area cards, each with a coloured image, heading, description and a list of indication links. On indication pages: three-column statistic/icon cards. On the campaign microsite: KPI/stat cards.</w:t>
      </w:r>
    </w:p>
    <w:p>
      <w:pPr>
        <w:spacing w:after="100"/>
      </w:pPr>
      <w:r>
        <w:rPr>
          <w:b/>
          <w:bCs/>
        </w:rPr>
        <w:t xml:space="preserve">Design variations: </w:t>
      </w:r>
      <w:r>
        <w:t xml:space="preserve">Design variations on a shared "collection of cards" model — coloured therapy-area cards (light), stat/icon cards (light), and dark-theme campaign stat cards. Product cards on the listing page use the same card pattern with a CTA button per card.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https://www.myastrazeneca.ch/de/startseite/therapiegebiete/cvrm/diabetes.html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4000500" cy="33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5. Tabs / Section sub-navigation</w:t>
      </w:r>
    </w:p>
    <w:p>
      <w:pPr>
        <w:spacing w:after="100"/>
      </w:pPr>
      <w:r>
        <w:rPr>
          <w:b/>
          <w:bCs/>
        </w:rPr>
        <w:t xml:space="preserve">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Approx. pages using: </w:t>
      </w:r>
      <w:r>
        <w:t xml:space="preserve">4</w:t>
      </w:r>
    </w:p>
    <w:p>
      <w:pPr>
        <w:spacing w:after="100"/>
      </w:pPr>
      <w:r>
        <w:rPr>
          <w:b/>
          <w:bCs/>
        </w:rPr>
        <w:t xml:space="preserve">Behaviour &amp; functionality: </w:t>
      </w:r>
      <w:r>
        <w:t xml:space="preserve">Horizontal tab bar used for in-section navigation. On product pages it switches between product sub-pages (Überblick, COPD Management, Wirksamkeit, Sicherheit, …); on the product listing it filters product cards by therapy area. Each tab links to / reveals its associated content.</w:t>
      </w:r>
    </w:p>
    <w:p>
      <w:pPr>
        <w:spacing w:after="100"/>
      </w:pPr>
      <w:r>
        <w:rPr>
          <w:b/>
          <w:bCs/>
        </w:rPr>
        <w:t xml:space="preserve">Design variations: </w:t>
      </w:r>
      <w:r>
        <w:t xml:space="preserve">Two variations of the same tab model differing only in the number of tab items / linked resources (product sub-nav vs. therapy-area filter).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https://www.myastrazeneca.ch/de/startseite/produkte/trixeo/aerosphere-technologie.html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https://www.myastrazeneca.ch/de/startseite/produkte.html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40005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6. Columns / Text + Image content</w:t>
      </w:r>
    </w:p>
    <w:p>
      <w:pPr>
        <w:spacing w:after="100"/>
      </w:pPr>
      <w:r>
        <w:rPr>
          <w:b/>
          <w:bCs/>
        </w:rPr>
        <w:t xml:space="preserve">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Approx. pages using: </w:t>
      </w:r>
      <w:r>
        <w:t xml:space="preserve">84</w:t>
      </w:r>
    </w:p>
    <w:p>
      <w:pPr>
        <w:spacing w:after="100"/>
      </w:pPr>
      <w:r>
        <w:rPr>
          <w:b/>
          <w:bCs/>
        </w:rPr>
        <w:t xml:space="preserve">Behaviour &amp; functionality: </w:t>
      </w:r>
      <w:r>
        <w:t xml:space="preserve">Alternating text-and-image content rows used throughout indication pages and the campaign microsite to present symptoms, diagnosis, mechanism-of-action illustrations, etc. Heading + body copy paired with one or more images.</w:t>
      </w:r>
    </w:p>
    <w:p>
      <w:pPr>
        <w:spacing w:after="100"/>
      </w:pPr>
      <w:r>
        <w:rPr>
          <w:b/>
          <w:bCs/>
        </w:rPr>
        <w:t xml:space="preserve">Design variations: </w:t>
      </w:r>
      <w:r>
        <w:t xml:space="preserve">Design variations of a shared heading+text+image(s) model: light theme (indication pages), dark theme with illustrations/diagrams (campaign microsite), and multi-image process-diagram rows.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https://www.myastrazeneca.ch/de/startseite/therapiegebiete/cvrm/diabetes.html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https://www.myastrazeneca.ch/de/startseite/therapiegebiete/cvrm/see-the-pattrns/about-amylodosis-attr.html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2867025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7. Image / Diagram group</w:t>
      </w:r>
    </w:p>
    <w:p>
      <w:pPr>
        <w:spacing w:after="100"/>
      </w:pPr>
      <w:r>
        <w:rPr>
          <w:b/>
          <w:bCs/>
        </w:rPr>
        <w:t xml:space="preserve">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Approx. pages using: </w:t>
      </w:r>
      <w:r>
        <w:t xml:space="preserve">51</w:t>
      </w:r>
    </w:p>
    <w:p>
      <w:pPr>
        <w:spacing w:after="100"/>
      </w:pPr>
      <w:r>
        <w:rPr>
          <w:b/>
          <w:bCs/>
        </w:rPr>
        <w:t xml:space="preserve">Behaviour &amp; functionality: </w:t>
      </w:r>
      <w:r>
        <w:t xml:space="preserve">Standalone image or grouped set of images used for illustrated process diagrams, mechanism-of-action visuals, comparison graphics and stat gauges on indication pages and the campaign microsite. Frequently combined with short captions.</w:t>
      </w:r>
    </w:p>
    <w:p>
      <w:pPr>
        <w:spacing w:after="100"/>
      </w:pPr>
      <w:r>
        <w:rPr>
          <w:b/>
          <w:bCs/>
        </w:rPr>
        <w:t xml:space="preserve">Design variations: </w:t>
      </w:r>
      <w:r>
        <w:t xml:space="preserve">Multiple design variations grouped by image count (single image, 2-image, 4-image and 6-image diagram groups), all on a shared "image collection" model, predominantly on the dark campaign theme.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https://www.myastrazeneca.ch/de/startseite/therapiegebiete/cvrm/see-the-pattrns/about-amylodosis-attr.html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https://www.myastrazeneca.ch/de/startseite/therapiegebiete/cvrm/acutecare.html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4000500" cy="1304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8. CTA / Promo band</w:t>
      </w:r>
    </w:p>
    <w:p>
      <w:pPr>
        <w:spacing w:after="100"/>
      </w:pPr>
      <w:r>
        <w:rPr>
          <w:b/>
          <w:bCs/>
        </w:rPr>
        <w:t xml:space="preserve">Complexity: </w:t>
      </w:r>
      <w:r>
        <w:rPr>
          <w:b/>
          <w:bCs/>
          <w:color w:val="2E7D32"/>
        </w:rPr>
        <w:t xml:space="preserve">Low</w:t>
      </w:r>
      <w:r>
        <w:rPr>
          <w:b/>
          <w:bCs/>
        </w:rPr>
        <w:t xml:space="preserve">    Approx. pages using: </w:t>
      </w:r>
      <w:r>
        <w:t xml:space="preserve">28</w:t>
      </w:r>
    </w:p>
    <w:p>
      <w:pPr>
        <w:spacing w:after="100"/>
      </w:pPr>
      <w:r>
        <w:rPr>
          <w:b/>
          <w:bCs/>
        </w:rPr>
        <w:t xml:space="preserve">Behaviour &amp; functionality: </w:t>
      </w:r>
      <w:r>
        <w:t xml:space="preserve">Call-to-action element: a button (e.g. "Jetzt entdecken", "Kontaktieren Sie uns", "Mehr erfahren") optionally paired with a heading and short paragraph. Used as product-promo bands, "questions?" contact prompts and inline links to gated content.</w:t>
      </w:r>
    </w:p>
    <w:p>
      <w:pPr>
        <w:spacing w:after="100"/>
      </w:pPr>
      <w:r>
        <w:rPr>
          <w:b/>
          <w:bCs/>
        </w:rPr>
        <w:t xml:space="preserve">Design variations: </w:t>
      </w:r>
      <w:r>
        <w:t xml:space="preserve">Design variations of a shared heading+text+CTA model: full-width image promo band (homepage/listing), light inline CTA (indication pages), and dark campaign contact prompt.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https://www.myastrazeneca.ch/de/startseite/produkte.html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400050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3"/>
      </w:pPr>
      <w:r>
        <w:t xml:space="preserve">9. Contact form</w:t>
      </w:r>
    </w:p>
    <w:p>
      <w:pPr>
        <w:spacing w:after="100"/>
      </w:pPr>
      <w:r>
        <w:rPr>
          <w:b/>
          <w:bCs/>
        </w:rPr>
        <w:t xml:space="preserve">Complexity: </w:t>
      </w:r>
      <w:r>
        <w:rPr>
          <w:b/>
          <w:bCs/>
          <w:color w:val="B26A00"/>
        </w:rPr>
        <w:t xml:space="preserve">Medium</w:t>
      </w:r>
      <w:r>
        <w:rPr>
          <w:b/>
          <w:bCs/>
        </w:rPr>
        <w:t xml:space="preserve">    Approx. pages using: </w:t>
      </w:r>
      <w:r>
        <w:t xml:space="preserve">4</w:t>
      </w:r>
    </w:p>
    <w:p>
      <w:pPr>
        <w:spacing w:after="100"/>
      </w:pPr>
      <w:r>
        <w:rPr>
          <w:b/>
          <w:bCs/>
        </w:rPr>
        <w:t xml:space="preserve">Behaviour &amp; functionality: </w:t>
      </w:r>
      <w:r>
        <w:t xml:space="preserve">Lead / enquiry form: first name, last name, e-mail, an "area of interest" select, an optional free-text message, two consent checkboxes (terms &amp; data-protection) and a Send button. Client-side validation on required fields and submission handling.</w:t>
      </w:r>
    </w:p>
    <w:p>
      <w:pPr>
        <w:spacing w:after="100"/>
      </w:pPr>
      <w:r>
        <w:rPr>
          <w:b/>
          <w:bCs/>
        </w:rPr>
        <w:t xml:space="preserve">Design variations: </w:t>
      </w:r>
      <w:r>
        <w:t xml:space="preserve">Design variations of one form model differing by field set (with/without the message textarea and consent list) across the localized contact pages.</w:t>
      </w:r>
    </w:p>
    <w:p>
      <w:pPr>
        <w:spacing w:after="40"/>
      </w:pPr>
      <w:r>
        <w:rPr>
          <w:b/>
          <w:bCs/>
        </w:rPr>
        <w:t xml:space="preserve">Reference URLs: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https://www.myastrazeneca.ch/de/startseite/contact-us.html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155CC"/>
          <w:sz w:val="18"/>
          <w:szCs w:val="18"/>
        </w:rPr>
        <w:t xml:space="preserve">https://www.myastrazeneca.ch/fr/startseite/contact-us.html</w:t>
      </w:r>
    </w:p>
    <w:p>
      <w:pPr>
        <w:spacing w:after="40" w:before="100"/>
      </w:pPr>
      <w:r>
        <w:rPr>
          <w:b/>
          <w:bCs/>
        </w:rPr>
        <w:t xml:space="preserve">Screenshot:</w:t>
      </w:r>
    </w:p>
    <w:p>
      <w:pPr>
        <w:jc w:val="center"/>
      </w:pPr>
      <w:r>
        <w:drawing>
          <wp:inline distT="0" distB="0" distL="0" distR="0">
            <wp:extent cx="3619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Appendix A — Methodology &amp; Notes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URLs were discovered from the site’s XML sitemap (105 pages).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Pages were rendered and captured with an automated headless browser; structure fingerprints were clustered to derive page templates.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Templates were named by layout structure (not by content topic), so localized copies of the same layout collapse into one template.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Blocks were rolled up from per-page block analysis; variants sharing a content model are grouped as design variations of one block.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9 of 105 pages were not captured due to source-site rate-limiting (HTTP 403) or server errors; their layouts are represented by sibling localized pages, so no template or block is missing.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83005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C4007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21f55812fdf2b12650ccfbc79e819e08fa46655.jpg"/><Relationship Id="rId8" Type="http://schemas.openxmlformats.org/officeDocument/2006/relationships/image" Target="media/aa6175aa58a78a2314460ff5824b16af8b249252.jpg"/><Relationship Id="rId9" Type="http://schemas.openxmlformats.org/officeDocument/2006/relationships/image" Target="media/4d29cedaf9f7ac47ed5f5075e76db7174f2d31a5.jpg"/><Relationship Id="rId10" Type="http://schemas.openxmlformats.org/officeDocument/2006/relationships/image" Target="media/3b6276088be8538ba5a9adaee4d2d5013df7c22c.jpg"/><Relationship Id="rId11" Type="http://schemas.openxmlformats.org/officeDocument/2006/relationships/image" Target="media/b63693676798f7f14b8a118cbe45dbc0f04591ba.jpg"/><Relationship Id="rId12" Type="http://schemas.openxmlformats.org/officeDocument/2006/relationships/image" Target="media/09bea931661ce2dbbf04ce859001cc6cabf314ea.jpg"/><Relationship Id="rId13" Type="http://schemas.openxmlformats.org/officeDocument/2006/relationships/image" Target="media/4c6f183754a9a8425c03b1e4365e244874c8a173.jpg"/><Relationship Id="rId14" Type="http://schemas.openxmlformats.org/officeDocument/2006/relationships/image" Target="media/26364a8860f0bb483a0156e2419f058e9ae34dfa.jpg"/><Relationship Id="rId15" Type="http://schemas.openxmlformats.org/officeDocument/2006/relationships/image" Target="media/095a259d4018ea655373a42383eed5017de987ad.jpg"/><Relationship Id="rId16" Type="http://schemas.openxmlformats.org/officeDocument/2006/relationships/image" Target="media/015f6ccc82fb71b356a76217f85fc8509e93973e.jpg"/><Relationship Id="rId17" Type="http://schemas.openxmlformats.org/officeDocument/2006/relationships/image" Target="media/90c0d08ecd5efbebc3c89ccaf2932e41597c1829.jpg"/><Relationship Id="rId18" Type="http://schemas.openxmlformats.org/officeDocument/2006/relationships/image" Target="media/7253f8a1ee49912cd0c30b66acb08affe53051a8.jpg"/><Relationship Id="rId19" Type="http://schemas.openxmlformats.org/officeDocument/2006/relationships/image" Target="media/d15cb2671df8ec57d7a652ee7329e0fb9faed52a.jpg"/><Relationship Id="rId20" Type="http://schemas.openxmlformats.org/officeDocument/2006/relationships/image" Target="media/4a79937076d4581393d136a59a60f8bff5f9adb8.jpg"/><Relationship Id="rId21" Type="http://schemas.openxmlformats.org/officeDocument/2006/relationships/image" Target="media/8eefba91a221e990c6552b391d28116dbff43835.jpg"/><Relationship Id="rId22" Type="http://schemas.openxmlformats.org/officeDocument/2006/relationships/image" Target="media/c58039cf6a34d7226d67e821ec68b8239db7a172.jpg"/><Relationship Id="rId23" Type="http://schemas.openxmlformats.org/officeDocument/2006/relationships/image" Target="media/65da44a7b041a3c331a45794db91068f351b8ec6.jpg"/><Relationship Id="rId24" Type="http://schemas.openxmlformats.org/officeDocument/2006/relationships/image" Target="media/c16d4a25472cd9d69bcc31d165cdc36a63b76641.jpg"/><Relationship Id="rId25" Type="http://schemas.openxmlformats.org/officeDocument/2006/relationships/image" Target="media/727e2a04acb89671b7245adf1a6e0148f49e0daf.jpg"/><Relationship Id="rId26" Type="http://schemas.openxmlformats.org/officeDocument/2006/relationships/image" Target="media/de4509cc2e65a1d9d56746ba16eab921ca6f571c.jpg"/><Relationship Id="rId27" Type="http://schemas.openxmlformats.org/officeDocument/2006/relationships/image" Target="media/ec17a8980b70744263bc466a779e35f02de73278.jpg"/><Relationship Id="rId28" Type="http://schemas.openxmlformats.org/officeDocument/2006/relationships/image" Target="media/884ef0c9a745cb624e3a90853b2f5233b9a0008e.jpg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myAstraZeneca CH — Website Analysis</dc:title>
  <dc:creator>Site Analysis</dc:creator>
  <cp:lastModifiedBy>Un-named</cp:lastModifiedBy>
  <cp:revision>1</cp:revision>
  <dcterms:created xsi:type="dcterms:W3CDTF">2026-07-24T08:23:52.276Z</dcterms:created>
  <dcterms:modified xsi:type="dcterms:W3CDTF">2026-07-24T08:23:52.277Z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