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5B2A9E"/>
          <w:sz w:val="18"/>
          <w:szCs w:val="18"/>
        </w:rPr>
        <w:t xml:space="preserve">EDS MIGRATION — SCOPE &amp; ANALYSIS HANDOVER</w:t>
      </w:r>
    </w:p>
    <w:p>
      <w:pPr>
        <w:spacing w:after="40"/>
      </w:pPr>
      <w:r>
        <w:rPr>
          <w:b/>
          <w:bCs/>
          <w:color w:val="3B1E6E"/>
          <w:sz w:val="48"/>
          <w:szCs w:val="48"/>
        </w:rPr>
        <w:t xml:space="preserve">Riyadh Air (en)</w:t>
      </w:r>
    </w:p>
    <w:p>
      <w:pPr>
        <w:spacing w:after="100"/>
      </w:pPr>
      <w:r>
        <w:rPr>
          <w:i/>
          <w:iCs/>
          <w:color w:val="5A5A6A"/>
          <w:sz w:val="22"/>
          <w:szCs w:val="22"/>
        </w:rPr>
        <w:t xml:space="preserve">Content-layer migration assessment for Adobe Edge Delivery Services</w:t>
      </w:r>
    </w:p>
    <w:p>
      <w:pPr>
        <w:spacing w:after="120"/>
      </w:pPr>
    </w:p>
    <w:tbl>
      <w:tblPr>
        <w:tblW w:type="pct" w:w="100%"/>
        <w:tblBorders>
          <w:top w:val="single" w:color="E2E2EA" w:sz="4"/>
          <w:left w:val="single" w:color="E2E2EA" w:sz="4"/>
          <w:bottom w:val="single" w:color="E2E2EA" w:sz="4"/>
          <w:right w:val="single" w:color="E2E2EA" w:sz="4"/>
          <w:insideH w:val="single" w:color="E2E2EA" w:sz="4"/>
          <w:insideV w:val="single" w:color="E2E2EA" w:sz="4"/>
        </w:tblBorders>
      </w:tblPr>
      <w:tblGrid>
        <w:gridCol w:w="3000"/>
        <w:gridCol w:w="6360"/>
      </w:tblGrid>
      <w:tr>
        <w:trPr>
          <w:tblHeader/>
        </w:trPr>
        <w:tc>
          <w:tcPr>
            <w:shd w:fill="3B1E6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shd w:fill="3B1E6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Site analysed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https://www.riyadhair.com/en/home</w:t>
            </w:r>
          </w:p>
        </w:tc>
      </w:tr>
      <w:tr>
        <w:tc>
          <w:tcPr>
            <w:shd w:fill="F4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Analysis date</w:t>
            </w:r>
          </w:p>
        </w:tc>
        <w:tc>
          <w:tcPr>
            <w:shd w:fill="F4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2026-08-25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Pages discovered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260 (260 analysed — 100% coverage, 0 failed)</w:t>
            </w:r>
          </w:p>
        </w:tc>
      </w:tr>
      <w:tr>
        <w:tc>
          <w:tcPr>
            <w:shd w:fill="F4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Locale</w:t>
            </w:r>
          </w:p>
        </w:tc>
        <w:tc>
          <w:tcPr>
            <w:shd w:fill="F4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en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Templates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8</w:t>
            </w:r>
          </w:p>
        </w:tc>
      </w:tr>
      <w:tr>
        <w:tc>
          <w:tcPr>
            <w:shd w:fill="F4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Block variants</w:t>
            </w:r>
          </w:p>
        </w:tc>
        <w:tc>
          <w:tcPr>
            <w:shd w:fill="F4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21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Platform detected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Next.js SPA + headless Adobe AEM (GraphQL), behind Akamai</w:t>
            </w:r>
          </w:p>
        </w:tc>
      </w:tr>
    </w:tbl>
    <w:p>
      <w:pPr>
        <w:pBdr>
          <w:bottom w:val="single" w:color="5B2A9E" w:sz="18" w:space="4"/>
        </w:pBdr>
        <w:spacing w:after="140" w:before="320"/>
      </w:pPr>
      <w:r>
        <w:rPr>
          <w:b/>
          <w:bCs/>
          <w:color w:val="1A1A2E"/>
          <w:sz w:val="30"/>
          <w:szCs w:val="30"/>
        </w:rPr>
        <w:t xml:space="preserve">1. Executive Summary</w:t>
      </w:r>
    </w:p>
    <w:p>
      <w:pPr>
        <w:spacing w:after="100"/>
      </w:pPr>
      <w:r>
        <w:rPr>
          <w:sz w:val="21"/>
          <w:szCs w:val="21"/>
        </w:rPr>
        <w:t xml:space="preserve">A full crawl and structural analysis of the Riyadh Air English site was completed to scope an Adobe Edge Delivery Services (EDS) migration.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260 pages discovered via the on-site /en/sitemap page (Akamai blocks robots.txt &amp; XML sitemap).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260 pages analysed — 100% coverage, 0 failures.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8 unique page templates identified.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21 reusable block variants catalogued.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1 locale in scope (en), with a few embedded Spanish legal pages.</w:t>
      </w:r>
    </w:p>
    <w:p>
      <w:pPr>
        <w:spacing w:after="120"/>
      </w:pPr>
    </w:p>
    <w:p>
      <w:pPr>
        <w:pBdr>
          <w:left w:val="single" w:color="5B2A9E" w:sz="18" w:space="6"/>
        </w:pBdr>
        <w:shd w:fill="F1ECFA" w:color="auto" w:val="clear"/>
        <w:spacing w:after="120"/>
      </w:pPr>
      <w:r>
        <w:rPr>
          <w:b/>
          <w:bCs/>
          <w:color w:val="5B2A9E"/>
          <w:sz w:val="21"/>
          <w:szCs w:val="21"/>
        </w:rPr>
        <w:t xml:space="preserve">Key finding: </w:t>
      </w:r>
      <w:r>
        <w:rPr>
          <w:sz w:val="21"/>
          <w:szCs w:val="21"/>
        </w:rPr>
        <w:t xml:space="preserve">Riyadh Air is a Next.js single-page application backed by headless Adobe AEM (content served via GraphQL), behind Akamai bot protection. Most interior-page content renders client-side, so static captures show mainly the header/hero shell and newsletter footer. This is why 248 of 260 pages fingerprinted into one structural template. The biggest migration cost driver is whether AEM/GraphQL content export access is available — with it, the large content family becomes highly automatable; without it, expect rendered-DOM capture per page.</w:t>
      </w:r>
    </w:p>
    <w:p>
      <w:pPr>
        <w:pBdr>
          <w:bottom w:val="single" w:color="5B2A9E" w:sz="18" w:space="4"/>
        </w:pBdr>
        <w:spacing w:after="140" w:before="320"/>
      </w:pPr>
      <w:r>
        <w:rPr>
          <w:b/>
          <w:bCs/>
          <w:color w:val="1A1A2E"/>
          <w:sz w:val="30"/>
          <w:szCs w:val="30"/>
        </w:rPr>
        <w:t xml:space="preserve">2. Templates Inventory</w:t>
      </w:r>
    </w:p>
    <w:tbl>
      <w:tblPr>
        <w:tblW w:type="pct" w:w="100%"/>
        <w:tblBorders>
          <w:top w:val="single" w:color="E2E2EA" w:sz="4"/>
          <w:left w:val="single" w:color="E2E2EA" w:sz="4"/>
          <w:bottom w:val="single" w:color="E2E2EA" w:sz="4"/>
          <w:right w:val="single" w:color="E2E2EA" w:sz="4"/>
          <w:insideH w:val="single" w:color="E2E2EA" w:sz="4"/>
          <w:insideV w:val="single" w:color="E2E2EA" w:sz="4"/>
        </w:tblBorders>
      </w:tblPr>
      <w:tblGrid>
        <w:gridCol w:w="500"/>
        <w:gridCol w:w="1900"/>
        <w:gridCol w:w="1150"/>
        <w:gridCol w:w="3650"/>
        <w:gridCol w:w="2110"/>
      </w:tblGrid>
      <w:tr>
        <w:trPr>
          <w:tblHeader/>
        </w:trPr>
        <w:tc>
          <w:tcPr>
            <w:shd w:fill="3B1E6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shd w:fill="3B1E6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Template</w:t>
            </w:r>
          </w:p>
        </w:tc>
        <w:tc>
          <w:tcPr>
            <w:shd w:fill="3B1E6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Complexity</w:t>
            </w:r>
          </w:p>
        </w:tc>
        <w:tc>
          <w:tcPr>
            <w:shd w:fill="3B1E6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Reasoning</w:t>
            </w:r>
          </w:p>
        </w:tc>
        <w:tc>
          <w:tcPr>
            <w:shd w:fill="3B1E6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Reference URL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content-landing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High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Universal Next.js layout: nav, hero panel w/ sub-links, intro, alternating image+text feature sections + CTAs, newsletter footer. Content hydrated client-side. Spans home, section landings, about-us, experience, sfeer, discover-riyadh, plan-book, media-hub articles.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/en/home, /en/about-us</w:t>
            </w:r>
          </w:p>
        </w:tc>
      </w:tr>
      <w:tr>
        <w:tc>
          <w:tcPr>
            <w:shd w:fill="F4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shd w:fill="F4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feature-detail</w:t>
            </w:r>
          </w:p>
        </w:tc>
        <w:tc>
          <w:tcPr>
            <w:shd w:fill="F4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Medium</w:t>
            </w:r>
          </w:p>
        </w:tc>
        <w:tc>
          <w:tcPr>
            <w:shd w:fill="F4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Feature/detail variant with hero + media-rich body sections.</w:t>
            </w:r>
          </w:p>
        </w:tc>
        <w:tc>
          <w:tcPr>
            <w:shd w:fill="F4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/en/experience/chauffeur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help-article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Medium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Breadcrumb + "Explore all help articles" search box + heading + client-rendered body.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/en/help/flight-disruption-policy</w:t>
            </w:r>
          </w:p>
        </w:tc>
      </w:tr>
      <w:tr>
        <w:tc>
          <w:tcPr>
            <w:shd w:fill="F4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shd w:fill="F4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help-article-rich</w:t>
            </w:r>
          </w:p>
        </w:tc>
        <w:tc>
          <w:tcPr>
            <w:shd w:fill="F4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Medium</w:t>
            </w:r>
          </w:p>
        </w:tc>
        <w:tc>
          <w:tcPr>
            <w:shd w:fill="F4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Help article with richer inline structured media.</w:t>
            </w:r>
          </w:p>
        </w:tc>
        <w:tc>
          <w:tcPr>
            <w:shd w:fill="F4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/en/help/in-flight-entertainment-and-wi-fi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5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legal-terms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Low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Heading + long-form legal rich text + footer.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/en/legal/best-offer-guaranteed-terms-conditions</w:t>
            </w:r>
          </w:p>
        </w:tc>
      </w:tr>
      <w:tr>
        <w:tc>
          <w:tcPr>
            <w:shd w:fill="F4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6</w:t>
            </w:r>
          </w:p>
        </w:tc>
        <w:tc>
          <w:tcPr>
            <w:shd w:fill="F4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localized-legal</w:t>
            </w:r>
          </w:p>
        </w:tc>
        <w:tc>
          <w:tcPr>
            <w:shd w:fill="F4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Low</w:t>
            </w:r>
          </w:p>
        </w:tc>
        <w:tc>
          <w:tcPr>
            <w:shd w:fill="F4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Spanish-language legal doc inside the English tree.</w:t>
            </w:r>
          </w:p>
        </w:tc>
        <w:tc>
          <w:tcPr>
            <w:shd w:fill="F4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/en/conditions-of-carriage-es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7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manage-booking-tool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High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Booking-servicing application page (cancel booking); minimal static markup.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/en/manage/cancel-booking</w:t>
            </w:r>
          </w:p>
        </w:tc>
      </w:tr>
      <w:tr>
        <w:tc>
          <w:tcPr>
            <w:shd w:fill="F4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8</w:t>
            </w:r>
          </w:p>
        </w:tc>
        <w:tc>
          <w:tcPr>
            <w:shd w:fill="F4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manage-order-tool</w:t>
            </w:r>
          </w:p>
        </w:tc>
        <w:tc>
          <w:tcPr>
            <w:shd w:fill="F4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High</w:t>
            </w:r>
          </w:p>
        </w:tc>
        <w:tc>
          <w:tcPr>
            <w:shd w:fill="F4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Order-retrieval/servicing application page.</w:t>
            </w:r>
          </w:p>
        </w:tc>
        <w:tc>
          <w:tcPr>
            <w:shd w:fill="F4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/en/manage/manage-order</w:t>
            </w:r>
          </w:p>
        </w:tc>
      </w:tr>
    </w:tbl>
    <w:p>
      <w:pPr>
        <w:spacing w:after="80" w:before="200"/>
      </w:pPr>
      <w:r>
        <w:rPr>
          <w:b/>
          <w:bCs/>
          <w:color w:val="5B2A9E"/>
          <w:sz w:val="24"/>
          <w:szCs w:val="24"/>
        </w:rPr>
        <w:t xml:space="preserve">Template screenshots</w:t>
      </w:r>
    </w:p>
    <w:p>
      <w:pPr>
        <w:spacing w:after="20" w:before="120"/>
      </w:pPr>
      <w:r>
        <w:rPr>
          <w:b/>
          <w:bCs/>
          <w:color w:val="1A1A2E"/>
          <w:sz w:val="20"/>
          <w:szCs w:val="20"/>
        </w:rPr>
        <w:t xml:space="preserve">content-landing</w:t>
      </w:r>
    </w:p>
    <w:p>
      <w:pPr>
        <w:spacing w:after="20" w:before="60"/>
      </w:pPr>
      <w:r>
        <w:drawing>
          <wp:inline distT="0" distB="0" distL="0" distR="0">
            <wp:extent cx="3819525" cy="685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9525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rPr>
          <w:i/>
          <w:iCs/>
          <w:color w:val="5A5A6A"/>
          <w:sz w:val="16"/>
          <w:szCs w:val="16"/>
        </w:rPr>
        <w:t xml:space="preserve">Template: content-landing — representative page</w:t>
      </w:r>
    </w:p>
    <w:p>
      <w:pPr>
        <w:spacing w:after="20" w:before="120"/>
      </w:pPr>
      <w:r>
        <w:rPr>
          <w:b/>
          <w:bCs/>
          <w:color w:val="1A1A2E"/>
          <w:sz w:val="20"/>
          <w:szCs w:val="20"/>
        </w:rPr>
        <w:t xml:space="preserve">feature-detail</w:t>
      </w:r>
    </w:p>
    <w:p>
      <w:pPr>
        <w:spacing w:after="20" w:before="60"/>
      </w:pPr>
      <w:r>
        <w:drawing>
          <wp:inline distT="0" distB="0" distL="0" distR="0">
            <wp:extent cx="1895475" cy="685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rPr>
          <w:i/>
          <w:iCs/>
          <w:color w:val="5A5A6A"/>
          <w:sz w:val="16"/>
          <w:szCs w:val="16"/>
        </w:rPr>
        <w:t xml:space="preserve">Template: feature-detail — representative page</w:t>
      </w:r>
    </w:p>
    <w:p>
      <w:pPr>
        <w:spacing w:after="20" w:before="120"/>
      </w:pPr>
      <w:r>
        <w:rPr>
          <w:b/>
          <w:bCs/>
          <w:color w:val="1A1A2E"/>
          <w:sz w:val="20"/>
          <w:szCs w:val="20"/>
        </w:rPr>
        <w:t xml:space="preserve">help-article</w:t>
      </w:r>
    </w:p>
    <w:p>
      <w:pPr>
        <w:spacing w:after="20" w:before="60"/>
      </w:pPr>
      <w:r>
        <w:drawing>
          <wp:inline distT="0" distB="0" distL="0" distR="0">
            <wp:extent cx="5334000" cy="5534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53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rPr>
          <w:i/>
          <w:iCs/>
          <w:color w:val="5A5A6A"/>
          <w:sz w:val="16"/>
          <w:szCs w:val="16"/>
        </w:rPr>
        <w:t xml:space="preserve">Template: help-article — representative page</w:t>
      </w:r>
    </w:p>
    <w:p>
      <w:pPr>
        <w:spacing w:after="20" w:before="120"/>
      </w:pPr>
      <w:r>
        <w:rPr>
          <w:b/>
          <w:bCs/>
          <w:color w:val="1A1A2E"/>
          <w:sz w:val="20"/>
          <w:szCs w:val="20"/>
        </w:rPr>
        <w:t xml:space="preserve">help-article-rich</w:t>
      </w:r>
    </w:p>
    <w:p>
      <w:pPr>
        <w:spacing w:after="20" w:before="60"/>
      </w:pPr>
      <w:r>
        <w:drawing>
          <wp:inline distT="0" distB="0" distL="0" distR="0">
            <wp:extent cx="5334000" cy="4772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7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rPr>
          <w:i/>
          <w:iCs/>
          <w:color w:val="5A5A6A"/>
          <w:sz w:val="16"/>
          <w:szCs w:val="16"/>
        </w:rPr>
        <w:t xml:space="preserve">Template: help-article-rich — representative page</w:t>
      </w:r>
    </w:p>
    <w:p>
      <w:pPr>
        <w:spacing w:after="20" w:before="120"/>
      </w:pPr>
      <w:r>
        <w:rPr>
          <w:b/>
          <w:bCs/>
          <w:color w:val="1A1A2E"/>
          <w:sz w:val="20"/>
          <w:szCs w:val="20"/>
        </w:rPr>
        <w:t xml:space="preserve">legal-terms</w:t>
      </w:r>
    </w:p>
    <w:p>
      <w:pPr>
        <w:spacing w:after="20" w:before="60"/>
      </w:pPr>
      <w:r>
        <w:drawing>
          <wp:inline distT="0" distB="0" distL="0" distR="0">
            <wp:extent cx="53340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rPr>
          <w:i/>
          <w:iCs/>
          <w:color w:val="5A5A6A"/>
          <w:sz w:val="16"/>
          <w:szCs w:val="16"/>
        </w:rPr>
        <w:t xml:space="preserve">Template: legal-terms — representative page</w:t>
      </w:r>
    </w:p>
    <w:p>
      <w:pPr>
        <w:spacing w:after="20" w:before="120"/>
      </w:pPr>
      <w:r>
        <w:rPr>
          <w:b/>
          <w:bCs/>
          <w:color w:val="1A1A2E"/>
          <w:sz w:val="20"/>
          <w:szCs w:val="20"/>
        </w:rPr>
        <w:t xml:space="preserve">localized-legal</w:t>
      </w:r>
    </w:p>
    <w:p>
      <w:pPr>
        <w:spacing w:after="20" w:before="60"/>
      </w:pPr>
      <w:r>
        <w:drawing>
          <wp:inline distT="0" distB="0" distL="0" distR="0">
            <wp:extent cx="53340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rPr>
          <w:i/>
          <w:iCs/>
          <w:color w:val="5A5A6A"/>
          <w:sz w:val="16"/>
          <w:szCs w:val="16"/>
        </w:rPr>
        <w:t xml:space="preserve">Template: localized-legal — representative page</w:t>
      </w:r>
    </w:p>
    <w:p>
      <w:pPr>
        <w:spacing w:after="20" w:before="120"/>
      </w:pPr>
      <w:r>
        <w:rPr>
          <w:b/>
          <w:bCs/>
          <w:color w:val="1A1A2E"/>
          <w:sz w:val="20"/>
          <w:szCs w:val="20"/>
        </w:rPr>
        <w:t xml:space="preserve">manage-booking-tool</w:t>
      </w:r>
    </w:p>
    <w:p>
      <w:pPr>
        <w:spacing w:after="20" w:before="60"/>
      </w:pPr>
      <w:r>
        <w:drawing>
          <wp:inline distT="0" distB="0" distL="0" distR="0">
            <wp:extent cx="5334000" cy="4010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rPr>
          <w:i/>
          <w:iCs/>
          <w:color w:val="5A5A6A"/>
          <w:sz w:val="16"/>
          <w:szCs w:val="16"/>
        </w:rPr>
        <w:t xml:space="preserve">Template: manage-booking-tool — representative page</w:t>
      </w:r>
    </w:p>
    <w:p>
      <w:pPr>
        <w:spacing w:after="20" w:before="120"/>
      </w:pPr>
      <w:r>
        <w:rPr>
          <w:b/>
          <w:bCs/>
          <w:color w:val="1A1A2E"/>
          <w:sz w:val="20"/>
          <w:szCs w:val="20"/>
        </w:rPr>
        <w:t xml:space="preserve">manage-order-tool</w:t>
      </w:r>
    </w:p>
    <w:p>
      <w:pPr>
        <w:spacing w:after="20" w:before="60"/>
      </w:pPr>
      <w:r>
        <w:drawing>
          <wp:inline distT="0" distB="0" distL="0" distR="0">
            <wp:extent cx="53340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rPr>
          <w:i/>
          <w:iCs/>
          <w:color w:val="5A5A6A"/>
          <w:sz w:val="16"/>
          <w:szCs w:val="16"/>
        </w:rPr>
        <w:t xml:space="preserve">Template: manage-order-tool — representative page</w:t>
      </w:r>
    </w:p>
    <w:p>
      <w:pPr>
        <w:pBdr>
          <w:bottom w:val="single" w:color="5B2A9E" w:sz="18" w:space="4"/>
        </w:pBdr>
        <w:spacing w:after="140" w:before="320"/>
      </w:pPr>
      <w:r>
        <w:rPr>
          <w:b/>
          <w:bCs/>
          <w:color w:val="1A1A2E"/>
          <w:sz w:val="30"/>
          <w:szCs w:val="30"/>
        </w:rPr>
        <w:t xml:space="preserve">3. Blocks / Components Catalog</w:t>
      </w:r>
    </w:p>
    <w:p>
      <w:pPr>
        <w:spacing w:after="100"/>
      </w:pPr>
      <w:r>
        <w:rPr>
          <w:sz w:val="21"/>
          <w:szCs w:val="21"/>
        </w:rPr>
        <w:t xml:space="preserve">21 block variants catalogued and consolidated by content model — visual variations grouped as variants of the same base block.</w:t>
      </w:r>
    </w:p>
    <w:tbl>
      <w:tblPr>
        <w:tblW w:type="pct" w:w="100%"/>
        <w:tblBorders>
          <w:top w:val="single" w:color="E2E2EA" w:sz="4"/>
          <w:left w:val="single" w:color="E2E2EA" w:sz="4"/>
          <w:bottom w:val="single" w:color="E2E2EA" w:sz="4"/>
          <w:right w:val="single" w:color="E2E2EA" w:sz="4"/>
          <w:insideH w:val="single" w:color="E2E2EA" w:sz="4"/>
          <w:insideV w:val="single" w:color="E2E2EA" w:sz="4"/>
        </w:tblBorders>
      </w:tblPr>
      <w:tblGrid>
        <w:gridCol w:w="1700"/>
        <w:gridCol w:w="900"/>
        <w:gridCol w:w="1200"/>
        <w:gridCol w:w="3860"/>
        <w:gridCol w:w="1700"/>
      </w:tblGrid>
      <w:tr>
        <w:trPr>
          <w:tblHeader/>
        </w:trPr>
        <w:tc>
          <w:tcPr>
            <w:shd w:fill="3B1E6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Block (base)</w:t>
            </w:r>
          </w:p>
        </w:tc>
        <w:tc>
          <w:tcPr>
            <w:shd w:fill="3B1E6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Variants</w:t>
            </w:r>
          </w:p>
        </w:tc>
        <w:tc>
          <w:tcPr>
            <w:shd w:fill="3B1E6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Complexity</w:t>
            </w:r>
          </w:p>
        </w:tc>
        <w:tc>
          <w:tcPr>
            <w:shd w:fill="3B1E6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Behaviour / Functionality</w:t>
            </w:r>
          </w:p>
        </w:tc>
        <w:tc>
          <w:tcPr>
            <w:shd w:fill="3B1E6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Reference URL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header (global)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Medium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Sticky nav: logo, primary menu (Plan &amp; book, Manage, Experience, Discover Riyadh, Sfeer, About us, Help), language switcher, account, hamburger.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all pages</w:t>
            </w:r>
          </w:p>
        </w:tc>
      </w:tr>
      <w:tr>
        <w:tc>
          <w:tcPr>
            <w:shd w:fill="F4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footer (global)</w:t>
            </w:r>
          </w:p>
        </w:tc>
        <w:tc>
          <w:tcPr>
            <w:shd w:fill="F4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shd w:fill="F4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Medium</w:t>
            </w:r>
          </w:p>
        </w:tc>
        <w:tc>
          <w:tcPr>
            <w:shd w:fill="F4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Newsletter subscribe with consent checkbox + 4-column link nav + social icons + "A PIF Company" + legal row.</w:t>
            </w:r>
          </w:p>
        </w:tc>
        <w:tc>
          <w:tcPr>
            <w:shd w:fill="F4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all pages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hero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6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Low–Med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Page banner: title, sub-links, branded imagery; light/dark, with/without image. Dominant block: 244 pages.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/en/home</w:t>
            </w:r>
          </w:p>
        </w:tc>
      </w:tr>
      <w:tr>
        <w:tc>
          <w:tcPr>
            <w:shd w:fill="F4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cards</w:t>
            </w:r>
          </w:p>
        </w:tc>
        <w:tc>
          <w:tcPr>
            <w:shd w:fill="F4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shd w:fill="F4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Medium</w:t>
            </w:r>
          </w:p>
        </w:tc>
        <w:tc>
          <w:tcPr>
            <w:shd w:fill="F4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Card grid (feature/section cards with image + heading + CTA).</w:t>
            </w:r>
          </w:p>
        </w:tc>
        <w:tc>
          <w:tcPr>
            <w:shd w:fill="F4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/en/home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columns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Low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Alternating image+text feature rows.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/en/home</w:t>
            </w:r>
          </w:p>
        </w:tc>
      </w:tr>
      <w:tr>
        <w:tc>
          <w:tcPr>
            <w:shd w:fill="F4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search</w:t>
            </w:r>
          </w:p>
        </w:tc>
        <w:tc>
          <w:tcPr>
            <w:shd w:fill="F4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shd w:fill="F4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Medium</w:t>
            </w:r>
          </w:p>
        </w:tc>
        <w:tc>
          <w:tcPr>
            <w:shd w:fill="F4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Help-centre "Search for anything" box with submit.</w:t>
            </w:r>
          </w:p>
        </w:tc>
        <w:tc>
          <w:tcPr>
            <w:shd w:fill="F4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/en/help/flight-disruption-policy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custom / unknown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9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High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Composite hydrated fragments — heading+image+CTA+paragraph combos, multi-heading/image/CTA grids, styled text. No standard EDS equivalent.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across content pages</w:t>
            </w:r>
          </w:p>
        </w:tc>
      </w:tr>
    </w:tbl>
    <w:p>
      <w:pPr>
        <w:spacing w:after="80" w:before="200"/>
      </w:pPr>
      <w:r>
        <w:rPr>
          <w:b/>
          <w:bCs/>
          <w:color w:val="5B2A9E"/>
          <w:sz w:val="24"/>
          <w:szCs w:val="24"/>
        </w:rPr>
        <w:t xml:space="preserve">Block screenshots</w:t>
      </w:r>
    </w:p>
    <w:p>
      <w:pPr>
        <w:spacing w:after="20" w:before="100"/>
      </w:pPr>
      <w:r>
        <w:rPr>
          <w:b/>
          <w:bCs/>
          <w:color w:val="1A1A2E"/>
          <w:sz w:val="20"/>
          <w:szCs w:val="20"/>
        </w:rPr>
        <w:t xml:space="preserve">header</w:t>
      </w:r>
    </w:p>
    <w:p>
      <w:pPr>
        <w:spacing w:after="20" w:before="60"/>
      </w:pPr>
      <w:r>
        <w:drawing>
          <wp:inline distT="0" distB="0" distL="0" distR="0">
            <wp:extent cx="5334000" cy="295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rPr>
          <w:i/>
          <w:iCs/>
          <w:color w:val="5A5A6A"/>
          <w:sz w:val="16"/>
          <w:szCs w:val="16"/>
        </w:rPr>
        <w:t xml:space="preserve">Block: header</w:t>
      </w:r>
    </w:p>
    <w:p>
      <w:pPr>
        <w:spacing w:after="20" w:before="100"/>
      </w:pPr>
      <w:r>
        <w:rPr>
          <w:b/>
          <w:bCs/>
          <w:color w:val="1A1A2E"/>
          <w:sz w:val="20"/>
          <w:szCs w:val="20"/>
        </w:rPr>
        <w:t xml:space="preserve">hero</w:t>
      </w:r>
    </w:p>
    <w:p>
      <w:pPr>
        <w:spacing w:after="20" w:before="60"/>
      </w:pPr>
      <w:r>
        <w:drawing>
          <wp:inline distT="0" distB="0" distL="0" distR="0">
            <wp:extent cx="5334000" cy="2695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rPr>
          <w:i/>
          <w:iCs/>
          <w:color w:val="5A5A6A"/>
          <w:sz w:val="16"/>
          <w:szCs w:val="16"/>
        </w:rPr>
        <w:t xml:space="preserve">Block: hero</w:t>
      </w:r>
    </w:p>
    <w:p>
      <w:pPr>
        <w:spacing w:after="20" w:before="100"/>
      </w:pPr>
      <w:r>
        <w:rPr>
          <w:b/>
          <w:bCs/>
          <w:color w:val="1A1A2E"/>
          <w:sz w:val="20"/>
          <w:szCs w:val="20"/>
        </w:rPr>
        <w:t xml:space="preserve">cards</w:t>
      </w:r>
    </w:p>
    <w:p>
      <w:pPr>
        <w:spacing w:after="20" w:before="60"/>
      </w:pPr>
      <w:r>
        <w:drawing>
          <wp:inline distT="0" distB="0" distL="0" distR="0">
            <wp:extent cx="5334000" cy="1647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rPr>
          <w:i/>
          <w:iCs/>
          <w:color w:val="5A5A6A"/>
          <w:sz w:val="16"/>
          <w:szCs w:val="16"/>
        </w:rPr>
        <w:t xml:space="preserve">Block: cards</w:t>
      </w:r>
    </w:p>
    <w:p>
      <w:pPr>
        <w:spacing w:after="20" w:before="100"/>
      </w:pPr>
      <w:r>
        <w:rPr>
          <w:b/>
          <w:bCs/>
          <w:color w:val="1A1A2E"/>
          <w:sz w:val="20"/>
          <w:szCs w:val="20"/>
        </w:rPr>
        <w:t xml:space="preserve">columns</w:t>
      </w:r>
    </w:p>
    <w:p>
      <w:pPr>
        <w:spacing w:after="20" w:before="60"/>
      </w:pPr>
      <w:r>
        <w:drawing>
          <wp:inline distT="0" distB="0" distL="0" distR="0">
            <wp:extent cx="5334000" cy="2114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rPr>
          <w:i/>
          <w:iCs/>
          <w:color w:val="5A5A6A"/>
          <w:sz w:val="16"/>
          <w:szCs w:val="16"/>
        </w:rPr>
        <w:t xml:space="preserve">Block: columns</w:t>
      </w:r>
    </w:p>
    <w:p>
      <w:pPr>
        <w:spacing w:after="20" w:before="100"/>
      </w:pPr>
      <w:r>
        <w:rPr>
          <w:b/>
          <w:bCs/>
          <w:color w:val="1A1A2E"/>
          <w:sz w:val="20"/>
          <w:szCs w:val="20"/>
        </w:rPr>
        <w:t xml:space="preserve">search</w:t>
      </w:r>
    </w:p>
    <w:p>
      <w:pPr>
        <w:spacing w:after="20" w:before="60"/>
      </w:pPr>
      <w:r>
        <w:drawing>
          <wp:inline distT="0" distB="0" distL="0" distR="0">
            <wp:extent cx="5334000" cy="2838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rPr>
          <w:i/>
          <w:iCs/>
          <w:color w:val="5A5A6A"/>
          <w:sz w:val="16"/>
          <w:szCs w:val="16"/>
        </w:rPr>
        <w:t xml:space="preserve">Block: search</w:t>
      </w:r>
    </w:p>
    <w:p>
      <w:pPr>
        <w:spacing w:after="20" w:before="100"/>
      </w:pPr>
      <w:r>
        <w:rPr>
          <w:b/>
          <w:bCs/>
          <w:color w:val="1A1A2E"/>
          <w:sz w:val="20"/>
          <w:szCs w:val="20"/>
        </w:rPr>
        <w:t xml:space="preserve">footer</w:t>
      </w:r>
    </w:p>
    <w:p>
      <w:pPr>
        <w:spacing w:after="20" w:before="60"/>
      </w:pPr>
      <w:r>
        <w:drawing>
          <wp:inline distT="0" distB="0" distL="0" distR="0">
            <wp:extent cx="5334000" cy="2486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</w:pPr>
      <w:r>
        <w:rPr>
          <w:i/>
          <w:iCs/>
          <w:color w:val="5A5A6A"/>
          <w:sz w:val="16"/>
          <w:szCs w:val="16"/>
        </w:rPr>
        <w:t xml:space="preserve">Block: footer</w:t>
      </w:r>
    </w:p>
    <w:p>
      <w:pPr>
        <w:pBdr>
          <w:bottom w:val="single" w:color="5B2A9E" w:sz="18" w:space="4"/>
        </w:pBdr>
        <w:spacing w:after="140" w:before="320"/>
      </w:pPr>
      <w:r>
        <w:rPr>
          <w:b/>
          <w:bCs/>
          <w:color w:val="1A1A2E"/>
          <w:sz w:val="30"/>
          <w:szCs w:val="30"/>
        </w:rPr>
        <w:t xml:space="preserve">4. Page Counts by Template &amp; Migration Classification</w:t>
      </w:r>
    </w:p>
    <w:tbl>
      <w:tblPr>
        <w:tblW w:type="pct" w:w="100%"/>
        <w:tblBorders>
          <w:top w:val="single" w:color="E2E2EA" w:sz="4"/>
          <w:left w:val="single" w:color="E2E2EA" w:sz="4"/>
          <w:bottom w:val="single" w:color="E2E2EA" w:sz="4"/>
          <w:right w:val="single" w:color="E2E2EA" w:sz="4"/>
          <w:insideH w:val="single" w:color="E2E2EA" w:sz="4"/>
          <w:insideV w:val="single" w:color="E2E2EA" w:sz="4"/>
        </w:tblBorders>
      </w:tblPr>
      <w:tblGrid>
        <w:gridCol w:w="2400"/>
        <w:gridCol w:w="900"/>
        <w:gridCol w:w="2500"/>
        <w:gridCol w:w="3460"/>
      </w:tblGrid>
      <w:tr>
        <w:trPr>
          <w:tblHeader/>
        </w:trPr>
        <w:tc>
          <w:tcPr>
            <w:shd w:fill="3B1E6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Template</w:t>
            </w:r>
          </w:p>
        </w:tc>
        <w:tc>
          <w:tcPr>
            <w:shd w:fill="3B1E6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Pages</w:t>
            </w:r>
          </w:p>
        </w:tc>
        <w:tc>
          <w:tcPr>
            <w:shd w:fill="3B1E6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Migration Path</w:t>
            </w:r>
          </w:p>
        </w:tc>
        <w:tc>
          <w:tcPr>
            <w:shd w:fill="3B1E6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content-landing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248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Manual-heavy (content via AEM/GraphQL)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Identical shells; actual content client-rendered from AEM. Bulk-scriptable only with API access.</w:t>
            </w:r>
          </w:p>
        </w:tc>
      </w:tr>
      <w:tr>
        <w:tc>
          <w:tcPr>
            <w:shd w:fill="F4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feature-detail</w:t>
            </w:r>
          </w:p>
        </w:tc>
        <w:tc>
          <w:tcPr>
            <w:shd w:fill="F4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shd w:fill="F4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Semi-auto</w:t>
            </w:r>
          </w:p>
        </w:tc>
        <w:tc>
          <w:tcPr>
            <w:shd w:fill="F4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Media-rich composition.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help-article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Semi-auto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Search + client-rendered body.</w:t>
            </w:r>
          </w:p>
        </w:tc>
      </w:tr>
      <w:tr>
        <w:tc>
          <w:tcPr>
            <w:shd w:fill="F4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help-article-rich</w:t>
            </w:r>
          </w:p>
        </w:tc>
        <w:tc>
          <w:tcPr>
            <w:shd w:fill="F4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shd w:fill="F4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Semi-auto</w:t>
            </w:r>
          </w:p>
        </w:tc>
        <w:tc>
          <w:tcPr>
            <w:shd w:fill="F4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Richer inline media.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legal-terms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Automated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Static rich text.</w:t>
            </w:r>
          </w:p>
        </w:tc>
      </w:tr>
      <w:tr>
        <w:tc>
          <w:tcPr>
            <w:shd w:fill="F4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localized-legal</w:t>
            </w:r>
          </w:p>
        </w:tc>
        <w:tc>
          <w:tcPr>
            <w:shd w:fill="F4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shd w:fill="F4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Automated</w:t>
            </w:r>
          </w:p>
        </w:tc>
        <w:tc>
          <w:tcPr>
            <w:shd w:fill="F4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Static rich text (ES).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manage-booking-tool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Manual / Exclude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Transactional app.</w:t>
            </w:r>
          </w:p>
        </w:tc>
      </w:tr>
      <w:tr>
        <w:tc>
          <w:tcPr>
            <w:shd w:fill="F4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manage-order-tool</w:t>
            </w:r>
          </w:p>
        </w:tc>
        <w:tc>
          <w:tcPr>
            <w:shd w:fill="F4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shd w:fill="F4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Manual / Exclude</w:t>
            </w:r>
          </w:p>
        </w:tc>
        <w:tc>
          <w:tcPr>
            <w:shd w:fill="F4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Transactional app.</w:t>
            </w:r>
          </w:p>
        </w:tc>
      </w:tr>
      <w:tr>
        <w:tc>
          <w:tcPr>
            <w:shd w:fill="F1EC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A1A2E"/>
                <w:sz w:val="18"/>
                <w:szCs w:val="18"/>
              </w:rPr>
              <w:t xml:space="preserve">Total</w:t>
            </w:r>
          </w:p>
        </w:tc>
        <w:tc>
          <w:tcPr>
            <w:shd w:fill="F1EC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A1A2E"/>
                <w:sz w:val="18"/>
                <w:szCs w:val="18"/>
              </w:rPr>
              <w:t xml:space="preserve">260</w:t>
            </w:r>
          </w:p>
        </w:tc>
        <w:tc>
          <w:tcPr>
            <w:shd w:fill="F1EC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A1A2E"/>
                <w:sz w:val="18"/>
                <w:szCs w:val="18"/>
              </w:rPr>
              <w:t xml:space="preserve">Automated 2</w:t>
            </w:r>
          </w:p>
        </w:tc>
        <w:tc>
          <w:tcPr>
            <w:shd w:fill="F1EC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1A1A2E"/>
                <w:sz w:val="18"/>
                <w:szCs w:val="18"/>
              </w:rPr>
              <w:t xml:space="preserve">Content-via-CMS/semi-auto 256 · Manual 2</w:t>
            </w:r>
          </w:p>
        </w:tc>
      </w:tr>
    </w:tbl>
    <w:p>
      <w:pPr>
        <w:spacing w:after="100"/>
      </w:pPr>
      <w:r>
        <w:rPr>
          <w:i/>
          <w:iCs/>
          <w:color w:val="5A5A6A"/>
          <w:sz w:val="18"/>
          <w:szCs w:val="18"/>
        </w:rPr>
        <w:t xml:space="preserve">Note: because the site is already an AEM-backed headless app, the ~136 media-hub articles and other content pages are highly templatised. With AEM/GraphQL export access the 248-page family becomes largely automatable (one importer, many records); without it, each requires rendered-DOM capture (manual-heavy). This single decision swings the estimate substantially.</w:t>
      </w:r>
    </w:p>
    <w:p>
      <w:pPr>
        <w:pBdr>
          <w:bottom w:val="single" w:color="5B2A9E" w:sz="18" w:space="4"/>
        </w:pBdr>
        <w:spacing w:after="140" w:before="320"/>
      </w:pPr>
      <w:r>
        <w:rPr>
          <w:b/>
          <w:bCs/>
          <w:color w:val="1A1A2E"/>
          <w:sz w:val="30"/>
          <w:szCs w:val="30"/>
        </w:rPr>
        <w:t xml:space="preserve">5. Integrations Analysis</w:t>
      </w:r>
    </w:p>
    <w:tbl>
      <w:tblPr>
        <w:tblW w:type="pct" w:w="100%"/>
        <w:tblBorders>
          <w:top w:val="single" w:color="E2E2EA" w:sz="4"/>
          <w:left w:val="single" w:color="E2E2EA" w:sz="4"/>
          <w:bottom w:val="single" w:color="E2E2EA" w:sz="4"/>
          <w:right w:val="single" w:color="E2E2EA" w:sz="4"/>
          <w:insideH w:val="single" w:color="E2E2EA" w:sz="4"/>
          <w:insideV w:val="single" w:color="E2E2EA" w:sz="4"/>
        </w:tblBorders>
      </w:tblPr>
      <w:tblGrid>
        <w:gridCol w:w="3500"/>
        <w:gridCol w:w="2100"/>
        <w:gridCol w:w="1300"/>
        <w:gridCol w:w="2360"/>
      </w:tblGrid>
      <w:tr>
        <w:trPr>
          <w:tblHeader/>
        </w:trPr>
        <w:tc>
          <w:tcPr>
            <w:shd w:fill="3B1E6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Integration</w:t>
            </w:r>
          </w:p>
        </w:tc>
        <w:tc>
          <w:tcPr>
            <w:shd w:fill="3B1E6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shd w:fill="3B1E6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Complexity</w:t>
            </w:r>
          </w:p>
        </w:tc>
        <w:tc>
          <w:tcPr>
            <w:shd w:fill="3B1E6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Where used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Adobe Experience Manager (headless + GraphQL)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API / CMS backend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High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Site-wide (__env__.aem_host / graphql_api, assets.adobedtm.com)</w:t>
            </w:r>
          </w:p>
        </w:tc>
      </w:tr>
      <w:tr>
        <w:tc>
          <w:tcPr>
            <w:shd w:fill="F4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Adobe DTM / Launch (tag manager + analytics)</w:t>
            </w:r>
          </w:p>
        </w:tc>
        <w:tc>
          <w:tcPr>
            <w:shd w:fill="F4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Custom code / embed</w:t>
            </w:r>
          </w:p>
        </w:tc>
        <w:tc>
          <w:tcPr>
            <w:shd w:fill="F4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Medium</w:t>
            </w:r>
          </w:p>
        </w:tc>
        <w:tc>
          <w:tcPr>
            <w:shd w:fill="F4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All pages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Google Tag Manager + gtag / dataLayer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Embed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Medium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All pages (GTM-TB3GRWRT)</w:t>
            </w:r>
          </w:p>
        </w:tc>
      </w:tr>
      <w:tr>
        <w:tc>
          <w:tcPr>
            <w:shd w:fill="F4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OneTrust cookie consent</w:t>
            </w:r>
          </w:p>
        </w:tc>
        <w:tc>
          <w:tcPr>
            <w:shd w:fill="F4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Embed / plugin</w:t>
            </w:r>
          </w:p>
        </w:tc>
        <w:tc>
          <w:tcPr>
            <w:shd w:fill="F4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Low</w:t>
            </w:r>
          </w:p>
        </w:tc>
        <w:tc>
          <w:tcPr>
            <w:shd w:fill="F4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All pages (cdn.cookielaw.org)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Media CDN (media.riyadhair.com)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Asset delivery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Low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All pages (images/video)</w:t>
            </w:r>
          </w:p>
        </w:tc>
      </w:tr>
      <w:tr>
        <w:tc>
          <w:tcPr>
            <w:shd w:fill="F4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Booking / order engine</w:t>
            </w:r>
          </w:p>
        </w:tc>
        <w:tc>
          <w:tcPr>
            <w:shd w:fill="F4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External app</w:t>
            </w:r>
          </w:p>
        </w:tc>
        <w:tc>
          <w:tcPr>
            <w:shd w:fill="F4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High</w:t>
            </w:r>
          </w:p>
        </w:tc>
        <w:tc>
          <w:tcPr>
            <w:shd w:fill="F4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/en/manage/*, plan-book booking flow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Social embeds (Instagram, X, Facebook, YouTube, Threads, TikTok, LinkedIn, Snapchat)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Embed / link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Low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Footer</w:t>
            </w:r>
          </w:p>
        </w:tc>
      </w:tr>
      <w:tr>
        <w:tc>
          <w:tcPr>
            <w:shd w:fill="F4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Akamai bot protection / CDN</w:t>
            </w:r>
          </w:p>
        </w:tc>
        <w:tc>
          <w:tcPr>
            <w:shd w:fill="F4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Platform</w:t>
            </w:r>
          </w:p>
        </w:tc>
        <w:tc>
          <w:tcPr>
            <w:shd w:fill="F4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Medium</w:t>
            </w:r>
          </w:p>
        </w:tc>
        <w:tc>
          <w:tcPr>
            <w:shd w:fill="F4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Site-wide (blocks robots.txt &amp; XML sitemap)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Next.js runtime / hydration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Framework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High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All content pages</w:t>
            </w:r>
          </w:p>
        </w:tc>
      </w:tr>
    </w:tbl>
    <w:p>
      <w:pPr>
        <w:pBdr>
          <w:bottom w:val="single" w:color="5B2A9E" w:sz="18" w:space="4"/>
        </w:pBdr>
        <w:spacing w:after="140" w:before="320"/>
      </w:pPr>
      <w:r>
        <w:rPr>
          <w:b/>
          <w:bCs/>
          <w:color w:val="1A1A2E"/>
          <w:sz w:val="30"/>
          <w:szCs w:val="30"/>
        </w:rPr>
        <w:t xml:space="preserve">6. Complex Use Cases &amp; Observations</w:t>
      </w:r>
    </w:p>
    <w:tbl>
      <w:tblPr>
        <w:tblW w:type="pct" w:w="100%"/>
        <w:tblBorders>
          <w:top w:val="single" w:color="E2E2EA" w:sz="4"/>
          <w:left w:val="single" w:color="E2E2EA" w:sz="4"/>
          <w:bottom w:val="single" w:color="E2E2EA" w:sz="4"/>
          <w:right w:val="single" w:color="E2E2EA" w:sz="4"/>
          <w:insideH w:val="single" w:color="E2E2EA" w:sz="4"/>
          <w:insideV w:val="single" w:color="E2E2EA" w:sz="4"/>
        </w:tblBorders>
      </w:tblPr>
      <w:tblGrid>
        <w:gridCol w:w="500"/>
        <w:gridCol w:w="2500"/>
        <w:gridCol w:w="1250"/>
        <w:gridCol w:w="2200"/>
        <w:gridCol w:w="2810"/>
      </w:tblGrid>
      <w:tr>
        <w:trPr>
          <w:tblHeader/>
        </w:trPr>
        <w:tc>
          <w:tcPr>
            <w:shd w:fill="3B1E6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shd w:fill="3B1E6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Complex behaviour</w:t>
            </w:r>
          </w:p>
        </w:tc>
        <w:tc>
          <w:tcPr>
            <w:shd w:fill="3B1E6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Instances</w:t>
            </w:r>
          </w:p>
        </w:tc>
        <w:tc>
          <w:tcPr>
            <w:shd w:fill="3B1E6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Where</w:t>
            </w:r>
          </w:p>
        </w:tc>
        <w:tc>
          <w:tcPr>
            <w:shd w:fill="3B1E6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Why complex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1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Client-side-rendered content (Next.js hydration)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~256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content-landing, help, feature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Content absent from delivered HTML; source from AEM/GraphQL or rendered DOM.</w:t>
            </w:r>
          </w:p>
        </w:tc>
      </w:tr>
      <w:tr>
        <w:tc>
          <w:tcPr>
            <w:shd w:fill="F4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2</w:t>
            </w:r>
          </w:p>
        </w:tc>
        <w:tc>
          <w:tcPr>
            <w:shd w:fill="F4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Headless AEM + GraphQL backend</w:t>
            </w:r>
          </w:p>
        </w:tc>
        <w:tc>
          <w:tcPr>
            <w:shd w:fill="F4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site-wide</w:t>
            </w:r>
          </w:p>
        </w:tc>
        <w:tc>
          <w:tcPr>
            <w:shd w:fill="F4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all content</w:t>
            </w:r>
          </w:p>
        </w:tc>
        <w:tc>
          <w:tcPr>
            <w:shd w:fill="F4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Content model in AEM; path depends on export/API access.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3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Transactional apps (manage booking/order, plan-book)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~3+ areas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/en/manage/*, plan-book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Out of EDS content scope; integration or link-out.</w:t>
            </w:r>
          </w:p>
        </w:tc>
      </w:tr>
      <w:tr>
        <w:tc>
          <w:tcPr>
            <w:shd w:fill="F4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4</w:t>
            </w:r>
          </w:p>
        </w:tc>
        <w:tc>
          <w:tcPr>
            <w:shd w:fill="F4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Help-centre search</w:t>
            </w:r>
          </w:p>
        </w:tc>
        <w:tc>
          <w:tcPr>
            <w:shd w:fill="F4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~36</w:t>
            </w:r>
          </w:p>
        </w:tc>
        <w:tc>
          <w:tcPr>
            <w:shd w:fill="F4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/en/help/*</w:t>
            </w:r>
          </w:p>
        </w:tc>
        <w:tc>
          <w:tcPr>
            <w:shd w:fill="F4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Dynamic search/index behaviour to reproduce.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5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Bot protection (Akamai)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site-wide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all pages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Blocks robots.txt/XML sitemap; import tooling needs browser context + throttling.</w:t>
            </w:r>
          </w:p>
        </w:tc>
      </w:tr>
      <w:tr>
        <w:tc>
          <w:tcPr>
            <w:shd w:fill="F4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6</w:t>
            </w:r>
          </w:p>
        </w:tc>
        <w:tc>
          <w:tcPr>
            <w:shd w:fill="F4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9 custom/unknown block compositions</w:t>
            </w:r>
          </w:p>
        </w:tc>
        <w:tc>
          <w:tcPr>
            <w:shd w:fill="F4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~10 uses (pattern repeats)</w:t>
            </w:r>
          </w:p>
        </w:tc>
        <w:tc>
          <w:tcPr>
            <w:shd w:fill="F4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content pages</w:t>
            </w:r>
          </w:p>
        </w:tc>
        <w:tc>
          <w:tcPr>
            <w:shd w:fill="F4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Bespoke hydrated fragments; require content modeling.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7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Bilingual content in EN tree (-es pages)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~5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legal/conditions/fare pages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Locale handling within a single tree.</w:t>
            </w:r>
          </w:p>
        </w:tc>
      </w:tr>
      <w:tr>
        <w:tc>
          <w:tcPr>
            <w:shd w:fill="F4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8</w:t>
            </w:r>
          </w:p>
        </w:tc>
        <w:tc>
          <w:tcPr>
            <w:shd w:fill="F4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Large press-release archive</w:t>
            </w:r>
          </w:p>
        </w:tc>
        <w:tc>
          <w:tcPr>
            <w:shd w:fill="F4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136</w:t>
            </w:r>
          </w:p>
        </w:tc>
        <w:tc>
          <w:tcPr>
            <w:shd w:fill="F4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/en/media-hub/*</w:t>
            </w:r>
          </w:p>
        </w:tc>
        <w:tc>
          <w:tcPr>
            <w:shd w:fill="F4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Volume; ideal for automation if CMS export available.</w:t>
            </w:r>
          </w:p>
        </w:tc>
      </w:tr>
    </w:tbl>
    <w:p>
      <w:pPr>
        <w:pBdr>
          <w:bottom w:val="single" w:color="5B2A9E" w:sz="18" w:space="4"/>
        </w:pBdr>
        <w:spacing w:after="140" w:before="320"/>
      </w:pPr>
      <w:r>
        <w:rPr>
          <w:b/>
          <w:bCs/>
          <w:color w:val="1A1A2E"/>
          <w:sz w:val="30"/>
          <w:szCs w:val="30"/>
        </w:rPr>
        <w:t xml:space="preserve">7. Migration Estimates</w:t>
      </w:r>
    </w:p>
    <w:p>
      <w:pPr>
        <w:spacing w:after="100"/>
      </w:pPr>
      <w:r>
        <w:rPr>
          <w:sz w:val="21"/>
          <w:szCs w:val="21"/>
        </w:rPr>
        <w:t xml:space="preserve">Estimates cover the English content site (260 pages, 8 templates, 21 blocks). Excludes the booking/order transactional apps.</w:t>
      </w:r>
    </w:p>
    <w:p>
      <w:pPr>
        <w:spacing w:after="80" w:before="200"/>
      </w:pPr>
      <w:r>
        <w:rPr>
          <w:b/>
          <w:bCs/>
          <w:color w:val="5B2A9E"/>
          <w:sz w:val="24"/>
          <w:szCs w:val="24"/>
        </w:rPr>
        <w:t xml:space="preserve">Effort by workstream</w:t>
      </w:r>
    </w:p>
    <w:tbl>
      <w:tblPr>
        <w:tblW w:type="pct" w:w="100%"/>
        <w:tblBorders>
          <w:top w:val="single" w:color="E2E2EA" w:sz="4"/>
          <w:left w:val="single" w:color="E2E2EA" w:sz="4"/>
          <w:bottom w:val="single" w:color="E2E2EA" w:sz="4"/>
          <w:right w:val="single" w:color="E2E2EA" w:sz="4"/>
          <w:insideH w:val="single" w:color="E2E2EA" w:sz="4"/>
          <w:insideV w:val="single" w:color="E2E2EA" w:sz="4"/>
        </w:tblBorders>
      </w:tblPr>
      <w:tblGrid>
        <w:gridCol w:w="4600"/>
        <w:gridCol w:w="1800"/>
        <w:gridCol w:w="3860"/>
      </w:tblGrid>
      <w:tr>
        <w:trPr>
          <w:tblHeader/>
        </w:trPr>
        <w:tc>
          <w:tcPr>
            <w:shd w:fill="3B1E6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Workstream</w:t>
            </w:r>
          </w:p>
        </w:tc>
        <w:tc>
          <w:tcPr>
            <w:shd w:fill="3B1E6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Estimate</w:t>
            </w:r>
          </w:p>
        </w:tc>
        <w:tc>
          <w:tcPr>
            <w:shd w:fill="3B1E6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Block development (21 variants → ~8–10 EDS blocks + variations)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8–12 days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Incl. 9 custom compositions, search, newsletter</w:t>
            </w:r>
          </w:p>
        </w:tc>
      </w:tr>
      <w:tr>
        <w:tc>
          <w:tcPr>
            <w:shd w:fill="F4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Template setup (8 templates)</w:t>
            </w:r>
          </w:p>
        </w:tc>
        <w:tc>
          <w:tcPr>
            <w:shd w:fill="F4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4–5 days</w:t>
            </w:r>
          </w:p>
        </w:tc>
        <w:tc>
          <w:tcPr>
            <w:shd w:fill="F4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content-landing dominates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Content import — with AEM/GraphQL export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4–6 days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Scripted bulk import of 248-page family + 136 articles</w:t>
            </w:r>
          </w:p>
        </w:tc>
      </w:tr>
      <w:tr>
        <w:tc>
          <w:tcPr>
            <w:shd w:fill="F4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Content import — without API (rendered-DOM capture)</w:t>
            </w:r>
          </w:p>
        </w:tc>
        <w:tc>
          <w:tcPr>
            <w:shd w:fill="F4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+10–16 days</w:t>
            </w:r>
          </w:p>
        </w:tc>
        <w:tc>
          <w:tcPr>
            <w:shd w:fill="F4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Contingency if no CMS access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Header / footer / navigation (global)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3–4 days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Mega-nav + newsletter footer</w:t>
            </w:r>
          </w:p>
        </w:tc>
      </w:tr>
      <w:tr>
        <w:tc>
          <w:tcPr>
            <w:shd w:fill="F4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Help-centre search</w:t>
            </w:r>
          </w:p>
        </w:tc>
        <w:tc>
          <w:tcPr>
            <w:shd w:fill="F4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2–4 days</w:t>
            </w:r>
          </w:p>
        </w:tc>
        <w:tc>
          <w:tcPr>
            <w:shd w:fill="F4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Index + search behaviour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Integrations &amp; analytics re-wire (AEM/GTM/DTM/OneTrust)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4–6 days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+ runtime audit</w:t>
            </w:r>
          </w:p>
        </w:tc>
      </w:tr>
      <w:tr>
        <w:tc>
          <w:tcPr>
            <w:shd w:fill="F4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QA &amp; testing (functional, visual, a11y, PageSpeed)</w:t>
            </w:r>
          </w:p>
        </w:tc>
        <w:tc>
          <w:tcPr>
            <w:shd w:fill="F4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6–8 days</w:t>
            </w:r>
          </w:p>
        </w:tc>
        <w:tc>
          <w:tcPr>
            <w:shd w:fill="F4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Target Lighthouse 100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PM / UAT / fixes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4–6 days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200"/>
      </w:pPr>
      <w:r>
        <w:rPr>
          <w:b/>
          <w:bCs/>
          <w:color w:val="5B2A9E"/>
          <w:sz w:val="24"/>
          <w:szCs w:val="24"/>
        </w:rPr>
        <w:t xml:space="preserve">Totals by scenario</w:t>
      </w:r>
    </w:p>
    <w:tbl>
      <w:tblPr>
        <w:tblW w:type="pct" w:w="100%"/>
        <w:tblBorders>
          <w:top w:val="single" w:color="E2E2EA" w:sz="4"/>
          <w:left w:val="single" w:color="E2E2EA" w:sz="4"/>
          <w:bottom w:val="single" w:color="E2E2EA" w:sz="4"/>
          <w:right w:val="single" w:color="E2E2EA" w:sz="4"/>
          <w:insideH w:val="single" w:color="E2E2EA" w:sz="4"/>
          <w:insideV w:val="single" w:color="E2E2EA" w:sz="4"/>
        </w:tblBorders>
      </w:tblPr>
      <w:tblGrid>
        <w:gridCol w:w="3600"/>
        <w:gridCol w:w="2200"/>
        <w:gridCol w:w="2000"/>
        <w:gridCol w:w="2460"/>
      </w:tblGrid>
      <w:tr>
        <w:trPr>
          <w:tblHeader/>
        </w:trPr>
        <w:tc>
          <w:tcPr>
            <w:shd w:fill="3B1E6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Scenario</w:t>
            </w:r>
          </w:p>
        </w:tc>
        <w:tc>
          <w:tcPr>
            <w:shd w:fill="3B1E6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Total effort</w:t>
            </w:r>
          </w:p>
        </w:tc>
        <w:tc>
          <w:tcPr>
            <w:shd w:fill="3B1E6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Schedule</w:t>
            </w:r>
          </w:p>
        </w:tc>
        <w:tc>
          <w:tcPr>
            <w:shd w:fill="3B1E6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Indicative cost (~$600/day)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With AEM/GraphQL content export (recommended)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~35–51 person-days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~7–9 weeks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≈ $21k–$31k</w:t>
            </w:r>
          </w:p>
        </w:tc>
      </w:tr>
      <w:tr>
        <w:tc>
          <w:tcPr>
            <w:shd w:fill="F4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Without API (DOM capture)</w:t>
            </w:r>
          </w:p>
        </w:tc>
        <w:tc>
          <w:tcPr>
            <w:shd w:fill="F4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~45–67 person-days</w:t>
            </w:r>
          </w:p>
        </w:tc>
        <w:tc>
          <w:tcPr>
            <w:shd w:fill="F4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~9–12 weeks</w:t>
            </w:r>
          </w:p>
        </w:tc>
        <w:tc>
          <w:tcPr>
            <w:shd w:fill="F4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≈ $27k–$40k</w:t>
            </w:r>
          </w:p>
        </w:tc>
      </w:tr>
    </w:tbl>
    <w:p>
      <w:pPr>
        <w:spacing w:after="80" w:before="200"/>
      </w:pPr>
      <w:r>
        <w:rPr>
          <w:b/>
          <w:bCs/>
          <w:color w:val="5B2A9E"/>
          <w:sz w:val="24"/>
          <w:szCs w:val="24"/>
        </w:rPr>
        <w:t xml:space="preserve">Team &amp; phasing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Recommended team: 2 developers + 1 QA + PM (part-time).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Phase 1 — Blocks + templates + global navigation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Phase 2 — Content import (API-driven if possible)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Phase 3 — Help search + integrations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Phase 4 — QA / UAT</w:t>
      </w:r>
    </w:p>
    <w:p>
      <w:pPr>
        <w:pBdr>
          <w:bottom w:val="single" w:color="5B2A9E" w:sz="18" w:space="4"/>
        </w:pBdr>
        <w:spacing w:after="140" w:before="320"/>
      </w:pPr>
      <w:r>
        <w:rPr>
          <w:b/>
          <w:bCs/>
          <w:color w:val="1A1A2E"/>
          <w:sz w:val="30"/>
          <w:szCs w:val="30"/>
        </w:rPr>
        <w:t xml:space="preserve">8. Caveats &amp; Assumptions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Akamai protection blocks robots.txt and the XML sitemap; URLs were harvested from the on-site /en/sitemap page (260 URLs, high confidence). Page rendering succeeded via a real browser (100% analysed).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Content is client-rendered from headless AEM; the biggest cost driver is whether CMS/GraphQL export access is available.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Manage booking / order and the booking flow are transactional applications and are excluded from the content-migration counts and estimates.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1"/>
          <w:szCs w:val="21"/>
        </w:rPr>
        <w:t xml:space="preserve">Cost figures are indicative and use a placeholder blended day rate; adjust to your actual rates.</w:t>
      </w:r>
    </w:p>
    <w:p>
      <w:pPr>
        <w:pBdr>
          <w:bottom w:val="single" w:color="5B2A9E" w:sz="18" w:space="4"/>
        </w:pBdr>
        <w:spacing w:after="140" w:before="320"/>
      </w:pPr>
      <w:r>
        <w:rPr>
          <w:b/>
          <w:bCs/>
          <w:color w:val="1A1A2E"/>
          <w:sz w:val="30"/>
          <w:szCs w:val="30"/>
        </w:rPr>
        <w:t xml:space="preserve">9. Analysis Artifacts</w:t>
      </w:r>
    </w:p>
    <w:tbl>
      <w:tblPr>
        <w:tblW w:type="pct" w:w="100%"/>
        <w:tblBorders>
          <w:top w:val="single" w:color="E2E2EA" w:sz="4"/>
          <w:left w:val="single" w:color="E2E2EA" w:sz="4"/>
          <w:bottom w:val="single" w:color="E2E2EA" w:sz="4"/>
          <w:right w:val="single" w:color="E2E2EA" w:sz="4"/>
          <w:insideH w:val="single" w:color="E2E2EA" w:sz="4"/>
          <w:insideV w:val="single" w:color="E2E2EA" w:sz="4"/>
        </w:tblBorders>
      </w:tblPr>
      <w:tblGrid>
        <w:gridCol w:w="3400"/>
        <w:gridCol w:w="6860"/>
      </w:tblGrid>
      <w:tr>
        <w:trPr>
          <w:tblHeader/>
        </w:trPr>
        <w:tc>
          <w:tcPr>
            <w:shd w:fill="3B1E6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Artifact</w:t>
            </w:r>
          </w:p>
        </w:tc>
        <w:tc>
          <w:tcPr>
            <w:shd w:fill="3B1E6E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template-catalog.json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8 named templates with page assignments and reference URLs</w:t>
            </w:r>
          </w:p>
        </w:tc>
      </w:tr>
      <w:tr>
        <w:tc>
          <w:tcPr>
            <w:shd w:fill="F4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block-catalog.json</w:t>
            </w:r>
          </w:p>
        </w:tc>
        <w:tc>
          <w:tcPr>
            <w:shd w:fill="F4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21 block variants with usage counts and canonical models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summary.json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Site metrics and coverage summary</w:t>
            </w:r>
          </w:p>
        </w:tc>
      </w:tr>
      <w:tr>
        <w:tc>
          <w:tcPr>
            <w:shd w:fill="F4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urls-all.json / urls-grouped.json</w:t>
            </w:r>
          </w:p>
        </w:tc>
        <w:tc>
          <w:tcPr>
            <w:shd w:fill="F4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260 discovered URLs, grouped by directory pattern</w:t>
            </w:r>
          </w:p>
        </w:tc>
      </w:tr>
      <w:tr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.pages/{slug}/full-page.jpg</w:t>
            </w:r>
          </w:p>
        </w:tc>
        <w:tc>
          <w:tcPr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Full-page screenshot per analysed page</w:t>
            </w:r>
          </w:p>
        </w:tc>
      </w:tr>
      <w:tr>
        <w:tc>
          <w:tcPr>
            <w:shd w:fill="F4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.blocks/{variant}/screenshots/</w:t>
            </w:r>
          </w:p>
        </w:tc>
        <w:tc>
          <w:tcPr>
            <w:shd w:fill="F4F2F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A1A2E"/>
                <w:sz w:val="18"/>
                <w:szCs w:val="18"/>
              </w:rPr>
              <w:t xml:space="preserve">Screenshots per block variant</w:t>
            </w:r>
          </w:p>
        </w:tc>
      </w:tr>
    </w:tbl>
    <w:p>
      <w:pPr>
        <w:pBdr>
          <w:top w:val="single" w:color="E2E2EA" w:sz="6" w:space="6"/>
        </w:pBdr>
        <w:spacing w:before="300"/>
      </w:pPr>
      <w:r>
        <w:rPr>
          <w:i/>
          <w:iCs/>
          <w:color w:val="5A5A6A"/>
          <w:sz w:val="16"/>
          <w:szCs w:val="16"/>
        </w:rPr>
        <w:t xml:space="preserve">Riyadh Air (en) — EDS Migration Handover · Generated 2026-08-25 · Content-layer scope only (excludes transactional booking/order applications).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e9dba819e7c3af8dfc5279127cc6bfe50234975.jpg"/><Relationship Id="rId8" Type="http://schemas.openxmlformats.org/officeDocument/2006/relationships/image" Target="media/93d05c2b9c72e8b4ac4de53da7e84207da224f65.jpg"/><Relationship Id="rId9" Type="http://schemas.openxmlformats.org/officeDocument/2006/relationships/image" Target="media/fb016289e7a41781d3b71551d393a6615221fb8c.jpg"/><Relationship Id="rId10" Type="http://schemas.openxmlformats.org/officeDocument/2006/relationships/image" Target="media/6091c95c33004fb714e4bbe9263a7ab575e55e93.jpg"/><Relationship Id="rId11" Type="http://schemas.openxmlformats.org/officeDocument/2006/relationships/image" Target="media/bb1189b15251cb437f20c99ed983f6855a27d45f.jpg"/><Relationship Id="rId12" Type="http://schemas.openxmlformats.org/officeDocument/2006/relationships/image" Target="media/ad9724acb618d638a755f6952c8092d700f0c258.jpg"/><Relationship Id="rId13" Type="http://schemas.openxmlformats.org/officeDocument/2006/relationships/image" Target="media/9d9b6e23609e72a130fd9a73ffd10913e1b84f9e.jpg"/><Relationship Id="rId14" Type="http://schemas.openxmlformats.org/officeDocument/2006/relationships/image" Target="media/2e1183fa3c4a53fd0cdc5f76025fecaf5f3e2ace.jpg"/><Relationship Id="rId15" Type="http://schemas.openxmlformats.org/officeDocument/2006/relationships/image" Target="media/45176ccc3fa9d70f5daedabd11202729f836062d.jpg"/><Relationship Id="rId16" Type="http://schemas.openxmlformats.org/officeDocument/2006/relationships/image" Target="media/ae712eeb7b4f4927ee06a26e272c7b5f8c6bec24.jpg"/><Relationship Id="rId17" Type="http://schemas.openxmlformats.org/officeDocument/2006/relationships/image" Target="media/693e9da626e2cfc5a453f3af48961caa08ed362e.jpg"/><Relationship Id="rId18" Type="http://schemas.openxmlformats.org/officeDocument/2006/relationships/image" Target="media/9c4a0730f92fe9f8beb43707143f4f639dbee121.jpg"/><Relationship Id="rId19" Type="http://schemas.openxmlformats.org/officeDocument/2006/relationships/image" Target="media/93b6508fd03143639c755002d61925f3b06405e6.jpg"/><Relationship Id="rId20" Type="http://schemas.openxmlformats.org/officeDocument/2006/relationships/image" Target="media/98675d74fb7b5472905ed587952aba9c3dd653d1.jpg"/><Relationship Id="rId2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Riyadh Air (en) — EDS Migration Handover</dc:title>
  <dc:creator>EDS Migration Analysis</dc:creator>
  <cp:lastModifiedBy>Un-named</cp:lastModifiedBy>
  <cp:revision>1</cp:revision>
  <dcterms:created xsi:type="dcterms:W3CDTF">2026-08-25T12:26:03.976Z</dcterms:created>
  <dcterms:modified xsi:type="dcterms:W3CDTF">2026-08-25T12:26:03.976Z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