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3C8F" w14:textId="710D8EBF" w:rsidR="00840F9E" w:rsidRPr="00840F9E" w:rsidRDefault="00840F9E" w:rsidP="00840F9E">
      <w:pPr>
        <w:rPr>
          <w:b/>
          <w:bCs/>
        </w:rPr>
      </w:pPr>
    </w:p>
    <w:p w14:paraId="312507CD" w14:textId="4B727D4A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Cybersecurity breach during IT system integration</w:t>
      </w:r>
      <w:r w:rsidRPr="00840F9E">
        <w:t xml:space="preserve"> merging two banking platforms creates exploitable vulnerabilities</w:t>
      </w:r>
    </w:p>
    <w:p w14:paraId="74A912BE" w14:textId="023D6497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Regulatory approval delay (OSFI/FCAC)</w:t>
      </w:r>
      <w:r w:rsidRPr="00840F9E">
        <w:t xml:space="preserve"> complex deal involving a Schedule I bank acquiring a Loblaw-affiliated entity</w:t>
      </w:r>
    </w:p>
    <w:p w14:paraId="154109F9" w14:textId="0848AD21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Customer attrition post-migration</w:t>
      </w:r>
      <w:r w:rsidRPr="00840F9E">
        <w:t xml:space="preserve"> PC Financial customers may switch banks when rebranded away from Loblaw</w:t>
      </w:r>
    </w:p>
    <w:p w14:paraId="7B284E2D" w14:textId="67268E46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Data migration failure or corruption</w:t>
      </w:r>
      <w:r w:rsidRPr="00840F9E">
        <w:t xml:space="preserve"> transferring customer records, loan files, and transaction history across systems</w:t>
      </w:r>
    </w:p>
    <w:p w14:paraId="544C0171" w14:textId="4D2D089C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Key talent loss</w:t>
      </w:r>
      <w:r w:rsidRPr="00840F9E">
        <w:t xml:space="preserve"> PC Financial staff may exit during transition uncertainty</w:t>
      </w:r>
    </w:p>
    <w:p w14:paraId="02E037E0" w14:textId="53B01686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Brand confusion / reputational damage</w:t>
      </w:r>
      <w:r w:rsidRPr="00840F9E">
        <w:t xml:space="preserve"> customers unsure who holds their deposits after branding changes</w:t>
      </w:r>
    </w:p>
    <w:p w14:paraId="6ECC4E76" w14:textId="255CE1F5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Integration cost overrun</w:t>
      </w:r>
      <w:r w:rsidRPr="00840F9E">
        <w:t xml:space="preserve"> tech, legal, HR, and operational costs exceeding deal projections</w:t>
      </w:r>
    </w:p>
    <w:p w14:paraId="2EEAE6A7" w14:textId="77552E38" w:rsidR="00840F9E" w:rsidRPr="00840F9E" w:rsidRDefault="00840F9E" w:rsidP="00840F9E">
      <w:pPr>
        <w:numPr>
          <w:ilvl w:val="0"/>
          <w:numId w:val="1"/>
        </w:numPr>
      </w:pPr>
      <w:r w:rsidRPr="00840F9E">
        <w:rPr>
          <w:b/>
          <w:bCs/>
        </w:rPr>
        <w:t>Loblaw co-dependency disruption</w:t>
      </w:r>
      <w:r w:rsidRPr="00840F9E">
        <w:t xml:space="preserve"> PC Financial operates through Loblaw stores; exit from that relationship is operationally complex</w:t>
      </w:r>
    </w:p>
    <w:p w14:paraId="65FA2F0F" w14:textId="19DB1FB8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Cross-sell conversion failure</w:t>
      </w:r>
      <w:r w:rsidRPr="00840F9E">
        <w:t xml:space="preserve"> EQB fails to upsell PC Financial customers into mortgages or other EQB products</w:t>
      </w:r>
    </w:p>
    <w:p w14:paraId="49EC4EE8" w14:textId="065C959D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Interest rate sensitivity</w:t>
      </w:r>
      <w:r w:rsidRPr="00840F9E">
        <w:t xml:space="preserve"> rising or volatile rates affect mortgage portfolio profitability post-acquisition</w:t>
      </w:r>
    </w:p>
    <w:p w14:paraId="099BE8CF" w14:textId="28E44B41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Regulatory capital requirement changes</w:t>
      </w:r>
      <w:r w:rsidRPr="00840F9E">
        <w:t xml:space="preserve"> OSFI could impose new capital buffers on the combined entity</w:t>
      </w:r>
    </w:p>
    <w:p w14:paraId="3D3F0E76" w14:textId="5927BE53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Third-party vendor/contract disputes</w:t>
      </w:r>
      <w:r w:rsidRPr="00840F9E">
        <w:t xml:space="preserve"> Loblaw-side service agreements may not transfer cleanly to EQB</w:t>
      </w:r>
    </w:p>
    <w:p w14:paraId="371AA6B9" w14:textId="64BD5B74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Credit quality deterioration</w:t>
      </w:r>
      <w:r w:rsidRPr="00840F9E">
        <w:t xml:space="preserve"> PC </w:t>
      </w:r>
      <w:proofErr w:type="spellStart"/>
      <w:r w:rsidRPr="00840F9E">
        <w:t>Financial's</w:t>
      </w:r>
      <w:proofErr w:type="spellEnd"/>
      <w:r w:rsidRPr="00840F9E">
        <w:t xml:space="preserve"> loan book may have higher default risk than disclosed</w:t>
      </w:r>
    </w:p>
    <w:p w14:paraId="147AE997" w14:textId="4F6A6128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PIPEDA / privacy compliance failures</w:t>
      </w:r>
      <w:r w:rsidRPr="00840F9E">
        <w:t xml:space="preserve"> migrating personal data without full regulatory compliance</w:t>
      </w:r>
    </w:p>
    <w:p w14:paraId="4A600C4A" w14:textId="3F1E2A93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Competitor poaching of PC Financial customers</w:t>
      </w:r>
      <w:r w:rsidRPr="00840F9E">
        <w:t xml:space="preserve"> TD, RBC, or neobanks aggressively targeting customers during transition</w:t>
      </w:r>
    </w:p>
    <w:p w14:paraId="61C442D4" w14:textId="03542A97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lastRenderedPageBreak/>
        <w:t>Operational downtime during system cutover</w:t>
      </w:r>
      <w:r w:rsidRPr="00840F9E">
        <w:t xml:space="preserve"> banking services unavailable during migration windows</w:t>
      </w:r>
    </w:p>
    <w:p w14:paraId="4144B7F3" w14:textId="572374FC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Fraud spike during transition</w:t>
      </w:r>
      <w:r w:rsidRPr="00840F9E">
        <w:t xml:space="preserve"> account takeovers or identity fraud exploiting the confusion period</w:t>
      </w:r>
    </w:p>
    <w:p w14:paraId="0451C590" w14:textId="064BCE94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Inaccurate due diligence on loan portfolio quality</w:t>
      </w:r>
      <w:r w:rsidRPr="00840F9E">
        <w:t xml:space="preserve"> hidden non-performing loans surface post-close</w:t>
      </w:r>
    </w:p>
    <w:p w14:paraId="5014E873" w14:textId="2540ADE1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Employee benefits / HR integration friction</w:t>
      </w:r>
      <w:r w:rsidRPr="00840F9E">
        <w:t xml:space="preserve"> aligning compensation, benefits, and culture between two firms</w:t>
      </w:r>
    </w:p>
    <w:p w14:paraId="4D265406" w14:textId="3D5B475D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Liquidity risk from deposit runoff</w:t>
      </w:r>
      <w:r w:rsidRPr="00840F9E">
        <w:t xml:space="preserve"> unexpected withdrawal surge if customer confidence wavers</w:t>
      </w:r>
    </w:p>
    <w:p w14:paraId="527258A0" w14:textId="71CD7E38" w:rsidR="00840F9E" w:rsidRPr="00840F9E" w:rsidRDefault="00840F9E" w:rsidP="00840F9E">
      <w:pPr>
        <w:numPr>
          <w:ilvl w:val="0"/>
          <w:numId w:val="2"/>
        </w:numPr>
      </w:pPr>
      <w:r w:rsidRPr="00840F9E">
        <w:rPr>
          <w:b/>
          <w:bCs/>
        </w:rPr>
        <w:t>Loblaw relationship souring post-deal</w:t>
      </w:r>
      <w:r w:rsidRPr="00840F9E">
        <w:t xml:space="preserve"> residual commercial dependencies create ongoing negotiation friction</w:t>
      </w:r>
    </w:p>
    <w:p w14:paraId="0EA59F76" w14:textId="73701676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Foreign exchange risk</w:t>
      </w:r>
      <w:r w:rsidRPr="00840F9E">
        <w:t xml:space="preserve"> minimal but present if any deal components are USD-denominated</w:t>
      </w:r>
    </w:p>
    <w:p w14:paraId="02E33442" w14:textId="2E1AB144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 xml:space="preserve">Legal challenges from PC Financial </w:t>
      </w:r>
      <w:proofErr w:type="gramStart"/>
      <w:r w:rsidRPr="00840F9E">
        <w:rPr>
          <w:b/>
          <w:bCs/>
        </w:rPr>
        <w:t>employees</w:t>
      </w:r>
      <w:proofErr w:type="gramEnd"/>
      <w:r w:rsidRPr="00840F9E">
        <w:t xml:space="preserve"> wrongful dismissal or class actions during workforce integration</w:t>
      </w:r>
    </w:p>
    <w:p w14:paraId="615878E7" w14:textId="510F560B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Adverse media coverage</w:t>
      </w:r>
      <w:r w:rsidRPr="00840F9E">
        <w:t xml:space="preserve"> negative press during a stumble could amplify customer churn</w:t>
      </w:r>
    </w:p>
    <w:p w14:paraId="1A232737" w14:textId="5464C3C1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Mis-selling or product suitability complaints</w:t>
      </w:r>
      <w:r w:rsidRPr="00840F9E">
        <w:t xml:space="preserve"> PC Financial customers mis-directed into EQB products they don't need</w:t>
      </w:r>
    </w:p>
    <w:p w14:paraId="51A425AC" w14:textId="38B6A233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Technology vendor lock-in</w:t>
      </w:r>
      <w:r w:rsidRPr="00840F9E">
        <w:t xml:space="preserve"> EQB inherits legacy contracts that are expensive to exit</w:t>
      </w:r>
    </w:p>
    <w:p w14:paraId="21461645" w14:textId="51794542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Failure to meet synergy targets</w:t>
      </w:r>
      <w:r w:rsidRPr="00840F9E">
        <w:t xml:space="preserve"> projected $X in cost savings or revenue uplift not materialized</w:t>
      </w:r>
    </w:p>
    <w:p w14:paraId="18D1264B" w14:textId="3462E0CD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Anti-money laundering (AML) compliance gaps</w:t>
      </w:r>
      <w:r w:rsidRPr="00840F9E">
        <w:t xml:space="preserve"> PC </w:t>
      </w:r>
      <w:proofErr w:type="spellStart"/>
      <w:r w:rsidRPr="00840F9E">
        <w:t>Financial's</w:t>
      </w:r>
      <w:proofErr w:type="spellEnd"/>
      <w:r w:rsidRPr="00840F9E">
        <w:t xml:space="preserve"> AML controls may not meet EQB's standards</w:t>
      </w:r>
    </w:p>
    <w:p w14:paraId="2AB6BAD4" w14:textId="5056DA8F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Change management fatigue</w:t>
      </w:r>
      <w:r w:rsidRPr="00840F9E">
        <w:t xml:space="preserve"> internal teams overwhelmed by volume of integration workstreams</w:t>
      </w:r>
    </w:p>
    <w:p w14:paraId="3F2A179B" w14:textId="2F0B81BB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Environmental/social reputational risk</w:t>
      </w:r>
      <w:r w:rsidRPr="00840F9E">
        <w:t xml:space="preserve"> any ESG-related controversy during the deal attracts scrutiny</w:t>
      </w:r>
    </w:p>
    <w:p w14:paraId="4CD85ED0" w14:textId="677CBE58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Underestimating IT infrastructure age</w:t>
      </w:r>
      <w:r w:rsidRPr="00840F9E">
        <w:t xml:space="preserve"> legacy PC Financial systems more outdated than assessed</w:t>
      </w:r>
    </w:p>
    <w:p w14:paraId="23BA32AC" w14:textId="379F26E3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lastRenderedPageBreak/>
        <w:t>Loss of Loblaw co-branding benefits</w:t>
      </w:r>
      <w:r w:rsidRPr="00840F9E">
        <w:t xml:space="preserve"> PC Points/loyalty program integration complexities hurting retention</w:t>
      </w:r>
    </w:p>
    <w:p w14:paraId="3936B38C" w14:textId="6FA3A209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Geopolitical or macro shock</w:t>
      </w:r>
      <w:r w:rsidRPr="00840F9E">
        <w:t xml:space="preserve"> recession, housing market crash affecting EQB's mortgage-heavy business</w:t>
      </w:r>
    </w:p>
    <w:p w14:paraId="0292CB25" w14:textId="738C2FB9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Insurance and indemnity gaps</w:t>
      </w:r>
      <w:r w:rsidRPr="00840F9E">
        <w:t xml:space="preserve"> deal reps &amp; warranties coverage insufficient for undisclosed liabilities</w:t>
      </w:r>
    </w:p>
    <w:p w14:paraId="5487F047" w14:textId="640FC12B" w:rsidR="00840F9E" w:rsidRPr="00840F9E" w:rsidRDefault="00840F9E" w:rsidP="00840F9E">
      <w:pPr>
        <w:numPr>
          <w:ilvl w:val="0"/>
          <w:numId w:val="3"/>
        </w:numPr>
      </w:pPr>
      <w:r w:rsidRPr="00840F9E">
        <w:rPr>
          <w:b/>
          <w:bCs/>
        </w:rPr>
        <w:t>Governance integration lag</w:t>
      </w:r>
      <w:r w:rsidRPr="00840F9E">
        <w:t xml:space="preserve"> PC Financial board/committee structures not dissolved cleanly, creating decision-making confusion</w:t>
      </w:r>
    </w:p>
    <w:p w14:paraId="5A3ED6CD" w14:textId="77777777" w:rsidR="00840F9E" w:rsidRPr="00840F9E" w:rsidRDefault="00840F9E" w:rsidP="00840F9E"/>
    <w:sectPr w:rsidR="00840F9E" w:rsidRPr="00840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7DB"/>
    <w:multiLevelType w:val="multilevel"/>
    <w:tmpl w:val="8A7C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B6C31"/>
    <w:multiLevelType w:val="multilevel"/>
    <w:tmpl w:val="D35AD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55203"/>
    <w:multiLevelType w:val="multilevel"/>
    <w:tmpl w:val="F2D46C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318962">
    <w:abstractNumId w:val="0"/>
  </w:num>
  <w:num w:numId="2" w16cid:durableId="2073499475">
    <w:abstractNumId w:val="1"/>
  </w:num>
  <w:num w:numId="3" w16cid:durableId="1784422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9E"/>
    <w:rsid w:val="001408EA"/>
    <w:rsid w:val="005B37F1"/>
    <w:rsid w:val="00840F9E"/>
    <w:rsid w:val="00FC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FC21"/>
  <w15:chartTrackingRefBased/>
  <w15:docId w15:val="{0998FE38-6786-4957-986A-915D0814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Govindarajan</dc:creator>
  <cp:keywords/>
  <dc:description/>
  <cp:lastModifiedBy>Arun Govindarajan</cp:lastModifiedBy>
  <cp:revision>2</cp:revision>
  <dcterms:created xsi:type="dcterms:W3CDTF">2026-03-09T04:41:00Z</dcterms:created>
  <dcterms:modified xsi:type="dcterms:W3CDTF">2026-03-10T03:17:00Z</dcterms:modified>
</cp:coreProperties>
</file>