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mbria" w:cs="Cambria" w:eastAsia="Cambria" w:hAnsi="Cambria"/>
          <w:b w:val="1"/>
          <w:bCs w:val="1"/>
          <w:sz w:val="34"/>
          <w:szCs w:val="34"/>
        </w:rPr>
      </w:pPr>
      <w:bookmarkStart w:colFirst="0" w:colLast="0" w:name="_1c0dsg9wlpur" w:id="0"/>
      <w:bookmarkEnd w:id="0"/>
      <w:r w:rsidDel="00000000" w:rsidR="00000000" w:rsidRPr="00000000">
        <w:rPr>
          <w:rFonts w:ascii="Cambria" w:cs="Cambria" w:eastAsia="Cambria" w:hAnsi="Cambria"/>
          <w:b w:val="1"/>
          <w:bCs w:val="1"/>
          <w:sz w:val="34"/>
          <w:szCs w:val="34"/>
          <w:rtl w:val="0"/>
        </w:rPr>
        <w:t xml:space="preserve">1. Background</w:t>
      </w:r>
    </w:p>
    <w:p w:rsidR="00000000" w:rsidDel="00000000" w:rsidP="00000000" w:rsidRDefault="00000000" w:rsidRPr="00000000" w14:paraId="0000000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 December 3, 2025, EQB Inc., the parent company of Equitable Bank and its consumer brand EQ Bank, announced an agreement to acquire PC Financial from Loblaw Companies Limited for approximately CAD 800 million. The transaction is structured as a combination of cash and EQB equity, resulting in Loblaw holding a 17% ownership stake in EQB along with two seats on its board of directors. At the time of the announcement, the deal required approval from Canada's Minister of Finance under the Bank Act and clearance under the Competition Act, with an expected close within calendar 2026 (EQB Inc., 2025).</w:t>
      </w:r>
    </w:p>
    <w:p w:rsidR="00000000" w:rsidDel="00000000" w:rsidP="00000000" w:rsidRDefault="00000000" w:rsidRPr="00000000" w14:paraId="0000000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EQB Inc. is a Toronto based financial institution and Canada's seventh largest bank by assets. Its consumer brand, EQ Bank, launched in 2016 as one of Canada's first fully digital, branchless banks, offering high interest savings accounts, GICs, and mortgages entirely online. By late 2025, EQB served approximately 607,000 customers and managed CAD 138 billion in assets. The bank operates entirely on cloud infrastructure through Microsoft Azure and runs on the Temenos core banking platform. It has been recognized on the Forbes World's Best Banks list every year since 2021 (EQB Inc., 2025; Temenos, 2025).</w:t>
      </w:r>
    </w:p>
    <w:p w:rsidR="00000000" w:rsidDel="00000000" w:rsidP="00000000" w:rsidRDefault="00000000" w:rsidRPr="00000000" w14:paraId="0000000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PC Financial, established in 1998, is the banking arm of Loblaw Companies. It serves over 2.5 million customers, manages more than two million active credit card accounts and CAD 5.8 billion in assets, and operates banking kiosks in over 2,500 Loblaw retail locations across Canada. PC Financial is best known for its PC Mastercard and its integration with the PC Optimum loyalty program, which has over 17 million active members nationally. Notably, PC Financial recently migrated to the same Temenos core banking platform used by EQ Bank, a factor that significantly reduces the technical complexity of post acquisition integration (EQB Inc., 2025; Fintech Futures, 2025).</w:t>
      </w:r>
    </w:p>
    <w:p w:rsidR="00000000" w:rsidDel="00000000" w:rsidP="00000000" w:rsidRDefault="00000000" w:rsidRPr="00000000" w14:paraId="0000000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strategic rationale for the acquisition centers on three objectives. First, it gives EQB immediate entry into the credit card and everyday banking market, a segment the company has never operated in. Second, it provides access to over 2,500 physical retail touchpoints through Loblaw's store network, transforming EQ Bank from a digital only operation into an omnichannel bank. Third, it establishes an exclusive 12 year financial partnership with the PC Optimum loyalty ecosystem, creating a data driven cross selling opportunity across 17 million Canadian consumers (EQB Inc., 2025).</w:t>
      </w:r>
    </w:p>
    <w:p w:rsidR="00000000" w:rsidDel="00000000" w:rsidP="00000000" w:rsidRDefault="00000000" w:rsidRPr="00000000" w14:paraId="0000000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However, the acquisition arrives during a period of financial pressure for EQB. In Q4 2025, the company underwent a significant restructuring that included an 8% workforce reduction and CAD 92 million in restructuring charges. Revenue declined 5% year over year and adjusted net income dropped 32% compared to the prior year period. Integration costs for the PC Financial acquisition are estimated at CAD 105 million, with a projected CAD 30 million in annual cost synergies once the integration is complete. EQB's CEO, Chadwick Westlake, has publicly described the deal as the beginning of "a new era for banking in Canada" and has identified a return to 15%+ ROE as the company's long term North Star target (Investing.com, 2025; Defense World, 2026).</w:t>
      </w:r>
    </w:p>
    <w:p w:rsidR="00000000" w:rsidDel="00000000" w:rsidP="00000000" w:rsidRDefault="00000000" w:rsidRPr="00000000" w14:paraId="0000000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From an enterprise risk management perspective, this acquisition represents a high complexity, multi dimensional risk event. EQB is simultaneously entering an unfamiliar competitive arena (credit cards and payments), scaling its customer base nearly sixfold (from 607,000 to over 3.5 million), integrating two distinct technology environments, navigating active regulatory review by OSFI and the Competition Bureau, and managing all of this while absorbing the financial impact of a recent restructuring. The breadth and concurrency of these risk exposures make this acquisition a strong case for a structured, analytics driven ERM assessment.</w:t>
      </w:r>
    </w:p>
    <w:p w:rsidR="00000000" w:rsidDel="00000000" w:rsidP="00000000" w:rsidRDefault="00000000" w:rsidRPr="00000000" w14:paraId="0000000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report presents an enterprise risk management analysis of the EQB/PC Financial acquisition. It begins with the identification and categorization of risks across the acquisition lifecycle, proceeds through qualitative and quantitative assessment using scenario analytics, industry fusion analytics, Indicators and Warnings (I&amp;W) analysis, machine learning based prediction, and Monte Carlo simulation, and concludes with risk response strategies and Key Risk Indicators (KRIs) designed to support decision making by EQB's Integration Management Office and senior leadership throughout the 2026 integration period.</w:t>
      </w:r>
    </w:p>
    <w:p w:rsidR="00000000" w:rsidDel="00000000" w:rsidP="00000000" w:rsidRDefault="00000000" w:rsidRPr="00000000" w14:paraId="00000009">
      <w:pPr>
        <w:pStyle w:val="Heading2"/>
        <w:keepNext w:val="0"/>
        <w:keepLines w:val="0"/>
        <w:spacing w:after="80" w:lineRule="auto"/>
        <w:rPr>
          <w:rFonts w:ascii="Cambria" w:cs="Cambria" w:eastAsia="Cambria" w:hAnsi="Cambria"/>
          <w:b w:val="1"/>
          <w:bCs w:val="1"/>
          <w:sz w:val="34"/>
          <w:szCs w:val="34"/>
        </w:rPr>
      </w:pPr>
      <w:bookmarkStart w:colFirst="0" w:colLast="0" w:name="_waujltowhwbl" w:id="1"/>
      <w:bookmarkEnd w:id="1"/>
      <w:r w:rsidDel="00000000" w:rsidR="00000000" w:rsidRPr="00000000">
        <w:rPr>
          <w:rFonts w:ascii="Cambria" w:cs="Cambria" w:eastAsia="Cambria" w:hAnsi="Cambria"/>
          <w:b w:val="1"/>
          <w:bCs w:val="1"/>
          <w:sz w:val="34"/>
          <w:szCs w:val="34"/>
          <w:rtl w:val="0"/>
        </w:rPr>
        <w:t xml:space="preserve">2. Identification of Risks</w:t>
      </w:r>
    </w:p>
    <w:p w:rsidR="00000000" w:rsidDel="00000000" w:rsidP="00000000" w:rsidRDefault="00000000" w:rsidRPr="00000000" w14:paraId="0000000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risk identification process for this assessment followed a structured, iterative approach grounded in the SWOT analysis completed at the outset of the project. Threats and opportunities identified in the SWOT were translated into discrete risk events, each described in terms of its cause, potential consequence, and the business or non business environment factor driving it. Risks were then categorized across operational, strategic, financial, regulatory, legal, reputational, and governance dimensions.</w:t>
      </w:r>
    </w:p>
    <w:p w:rsidR="00000000" w:rsidDel="00000000" w:rsidP="00000000" w:rsidRDefault="00000000" w:rsidRPr="00000000" w14:paraId="0000000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total of 40 risks were identified for the EQB/PC Financial acquisition. Of these, 37 represent threat risks (negative risks) and 3 represent opportunity risks (positive risks). Risks were scored on a Likelihood × Impact matrix using a non linear scale (1, 3, 5, 7, 9) for both dimensions, producing risk scores ranging from 1 to 81. Each risk was assigned a priority classification: High (score ≥ 45), Medium (score 21 to 44), or Low (score ≤ 20). The complete 40 risk register, including risk descriptions, causal factors, consequence/impact statements, likelihood and impact scores, risk scores, priority classifications, mitigation strategies, and risk owners, is provided in Appendix 1.</w:t>
      </w:r>
    </w:p>
    <w:p w:rsidR="00000000" w:rsidDel="00000000" w:rsidP="00000000" w:rsidRDefault="00000000" w:rsidRPr="00000000" w14:paraId="0000000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following summarizes the distribution of identified risks by priority level:</w:t>
      </w:r>
    </w:p>
    <w:p w:rsidR="00000000" w:rsidDel="00000000" w:rsidP="00000000" w:rsidRDefault="00000000" w:rsidRPr="00000000" w14:paraId="0000000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High Priority (Score ≥ 45): 7 risks.</w:t>
      </w:r>
      <w:r w:rsidDel="00000000" w:rsidR="00000000" w:rsidRPr="00000000">
        <w:rPr>
          <w:rFonts w:ascii="Cambria" w:cs="Cambria" w:eastAsia="Cambria" w:hAnsi="Cambria"/>
          <w:rtl w:val="0"/>
        </w:rPr>
        <w:t xml:space="preserve"> These represent the most critical exposures requiring immediate monitoring and active mitigation. They include R-01 Cybersecurity Breach During System Integration (score 81), R-17 Fraud Spike During Transition (score 54), R-14 PIPEDA/Privacy Compliance Failure (score 56), R-03 Customer Attrition Post Migration (score 56), and three positive risks: R-38 Cross Sell Conversion Opportunity (score 81), R-39 Omnichannel Expansion Opportunity (score 56), and R-40 AI Personalization Opportunity (score 56).</w:t>
      </w:r>
    </w:p>
    <w:p w:rsidR="00000000" w:rsidDel="00000000" w:rsidP="00000000" w:rsidRDefault="00000000" w:rsidRPr="00000000" w14:paraId="0000000E">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Medium Priority (Score 21 to 44): 25 risks.</w:t>
      </w:r>
      <w:r w:rsidDel="00000000" w:rsidR="00000000" w:rsidRPr="00000000">
        <w:rPr>
          <w:rFonts w:ascii="Cambria" w:cs="Cambria" w:eastAsia="Cambria" w:hAnsi="Cambria"/>
          <w:rtl w:val="0"/>
        </w:rPr>
        <w:t xml:space="preserve"> These span a wide range of categories including regulatory approval delay (R-02), integration cost overrun (R-07), brand confusion during rebrand (R-06), competitive poaching by the Big Six and fintechs (R-15), credit quality deterioration in the PC Financial loan book (R-13), interest rate sensitivity on the mortgage portfolio (R-10), key talent loss during transition (R-05), and Loblaw relationship friction (R-21), among others.</w:t>
      </w:r>
    </w:p>
    <w:p w:rsidR="00000000" w:rsidDel="00000000" w:rsidP="00000000" w:rsidRDefault="00000000" w:rsidRPr="00000000" w14:paraId="0000000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Low Priority (Score ≤ 20): 8 risks.</w:t>
      </w:r>
      <w:r w:rsidDel="00000000" w:rsidR="00000000" w:rsidRPr="00000000">
        <w:rPr>
          <w:rFonts w:ascii="Cambria" w:cs="Cambria" w:eastAsia="Cambria" w:hAnsi="Cambria"/>
          <w:rtl w:val="0"/>
        </w:rPr>
        <w:t xml:space="preserve"> These include governance integration lag (R-34), AI bias in personalization models (R-35), technology vendor lock in (R-25), operational downtime during system cutover (R-16), and legal risks such as wrongful dismissal claims (R-22) and insurance/indemnity gaps (R-33).</w:t>
      </w:r>
    </w:p>
    <w:p w:rsidR="00000000" w:rsidDel="00000000" w:rsidP="00000000" w:rsidRDefault="00000000" w:rsidRPr="00000000" w14:paraId="00000010">
      <w:pPr>
        <w:pStyle w:val="Heading3"/>
        <w:keepNext w:val="0"/>
        <w:keepLines w:val="0"/>
        <w:spacing w:before="280" w:lineRule="auto"/>
        <w:rPr>
          <w:rFonts w:ascii="Cambria" w:cs="Cambria" w:eastAsia="Cambria" w:hAnsi="Cambria"/>
          <w:b w:val="1"/>
          <w:bCs w:val="1"/>
          <w:color w:val="000000"/>
          <w:sz w:val="26"/>
          <w:szCs w:val="26"/>
        </w:rPr>
      </w:pPr>
      <w:bookmarkStart w:colFirst="0" w:colLast="0" w:name="_qbbzh5de5zh0" w:id="2"/>
      <w:bookmarkEnd w:id="2"/>
      <w:r w:rsidDel="00000000" w:rsidR="00000000" w:rsidRPr="00000000">
        <w:rPr>
          <w:rFonts w:ascii="Cambria" w:cs="Cambria" w:eastAsia="Cambria" w:hAnsi="Cambria"/>
          <w:b w:val="1"/>
          <w:bCs w:val="1"/>
          <w:color w:val="000000"/>
          <w:sz w:val="26"/>
          <w:szCs w:val="26"/>
          <w:rtl w:val="0"/>
        </w:rPr>
        <w:t xml:space="preserve">2.1 Concentration of Risk in the High Priority Tier</w:t>
      </w:r>
    </w:p>
    <w:p w:rsidR="00000000" w:rsidDel="00000000" w:rsidP="00000000" w:rsidRDefault="00000000" w:rsidRPr="00000000" w14:paraId="0000001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highest scoring threat risk in the register is R-01: Cybersecurity Breach During System Integration, with a score of 81 (Likelihood 9, Impact 9). This risk reflects the fact that EQB's simultaneous management of two distinct banking environments during the PC Financial integration has created a significantly expanded cybersecurity attack surface. The migration of over 2 million credit card accounts and 17.5 million PC Optimum loyalty records onto EQB's Azure cloud infrastructure creates temporary windows of vulnerability in access controls, authentication systems, and data migration pipelines. Canada's Big Six banks and sophisticated threat actors are known to actively monitor financial institutions during M&amp;A integration windows, when systems are in flux and security protocols are being reconfigured (OSFI, 2022).</w:t>
      </w:r>
    </w:p>
    <w:p w:rsidR="00000000" w:rsidDel="00000000" w:rsidP="00000000" w:rsidRDefault="00000000" w:rsidRPr="00000000" w14:paraId="0000001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highest scoring opportunity risk is R-38: Cross Sell Conversion Opportunity, also scored at 81 (Likelihood 9, Impact 9). Approximately 90% of PC Financial's 2.5 million credit card holders currently hold no deposit product with PC Financial, representing a large, pre qualified audience for EQ Bank's savings, GIC, and mortgage products. Combined with EQB's exclusive 12 year access to the PC Optimum loyalty ecosystem, this cross sell opportunity is the primary revenue driver underpinning the acquisition's CAD 800 million price tag and is central to EQB's stated goal of returning to 15%+ ROE (EQB Inc., 2025; Defense World, 2026).</w:t>
      </w:r>
    </w:p>
    <w:p w:rsidR="00000000" w:rsidDel="00000000" w:rsidP="00000000" w:rsidRDefault="00000000" w:rsidRPr="00000000" w14:paraId="00000013">
      <w:pPr>
        <w:pStyle w:val="Heading3"/>
        <w:keepNext w:val="0"/>
        <w:keepLines w:val="0"/>
        <w:spacing w:before="280" w:lineRule="auto"/>
        <w:rPr>
          <w:rFonts w:ascii="Cambria" w:cs="Cambria" w:eastAsia="Cambria" w:hAnsi="Cambria"/>
          <w:b w:val="1"/>
          <w:bCs w:val="1"/>
          <w:color w:val="000000"/>
          <w:sz w:val="26"/>
          <w:szCs w:val="26"/>
        </w:rPr>
      </w:pPr>
      <w:bookmarkStart w:colFirst="0" w:colLast="0" w:name="_dd88xiwiy2fj" w:id="3"/>
      <w:bookmarkEnd w:id="3"/>
      <w:r w:rsidDel="00000000" w:rsidR="00000000" w:rsidRPr="00000000">
        <w:rPr>
          <w:rFonts w:ascii="Cambria" w:cs="Cambria" w:eastAsia="Cambria" w:hAnsi="Cambria"/>
          <w:b w:val="1"/>
          <w:bCs w:val="1"/>
          <w:color w:val="000000"/>
          <w:sz w:val="26"/>
          <w:szCs w:val="26"/>
          <w:rtl w:val="0"/>
        </w:rPr>
        <w:t xml:space="preserve">2.2 Risk Categories and Environmental Drivers</w:t>
      </w:r>
    </w:p>
    <w:p w:rsidR="00000000" w:rsidDel="00000000" w:rsidP="00000000" w:rsidRDefault="00000000" w:rsidRPr="00000000" w14:paraId="0000001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40 identified risks span a broad set of categories: Operational/Cyber, Operational/Technical, Operational/Fraud, Operational/HR, Regulatory, Regulatory/Capital, Financial, Financial/Market, Financial/Credit, Financial/Liquidity, Strategic/Customer, Strategic/Revenue, Strategic/Competitive, Legal/Compliance, Legal/HR, Legal/Financial, Reputational, Reputational/ESG, Governance, and Strategic (Opportunity).</w:t>
      </w:r>
    </w:p>
    <w:p w:rsidR="00000000" w:rsidDel="00000000" w:rsidP="00000000" w:rsidRDefault="00000000" w:rsidRPr="00000000" w14:paraId="0000001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Consistent with the Integrated Situation Assessment framework required for this report, each risk was evaluated in the context of both business environment factors (market competition from the Big Six and fintechs, supply chain and vendor dependencies, EQB's financial condition post restructuring, and the dynamics of the Loblaw commercial partnership) and non business environment factors (OSFI and Competition Bureau regulatory review, PIPEDA privacy compliance requirements, geopolitical and macroeconomic conditions including interest rate sensitivity and housing market risk, and technological factors including cloud infrastructure scalability and AI model governance).</w:t>
      </w:r>
    </w:p>
    <w:p w:rsidR="00000000" w:rsidDel="00000000" w:rsidP="00000000" w:rsidRDefault="00000000" w:rsidRPr="00000000" w14:paraId="0000001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example, R-01 (Cybersecurity) is driven by both a business environment factor (the competitive pressure from threat actors targeting M&amp;A integration windows) and a non business environment factor (OSFI B-13 Technology and Cyber Risk Management guidelines that impose mandatory breach notification and remediation obligations). Similarly, R-02 (Regulatory Approval Delay) is shaped primarily by the non business regulatory environment (OSFI and Competition Bureau scrutiny of data concentration under a single challenger bank), but its financial impact is amplified by business environment conditions (EQB's post restructuring financial pressure, which reduces its capacity to absorb delayed synergies and extended integration carrying costs).</w:t>
      </w:r>
    </w:p>
    <w:p w:rsidR="00000000" w:rsidDel="00000000" w:rsidP="00000000" w:rsidRDefault="00000000" w:rsidRPr="00000000" w14:paraId="0000001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integrated approach, connecting business and non business environmental factors to specific risk drivers and model inputs, is carried through the qualitative and quantitative assessment sections that follow.</w:t>
      </w:r>
    </w:p>
    <w:p w:rsidR="00000000" w:rsidDel="00000000" w:rsidP="00000000" w:rsidRDefault="00000000" w:rsidRPr="00000000" w14:paraId="00000018">
      <w:pPr>
        <w:pStyle w:val="Heading3"/>
        <w:keepNext w:val="0"/>
        <w:keepLines w:val="0"/>
        <w:spacing w:before="280" w:lineRule="auto"/>
        <w:rPr>
          <w:rFonts w:ascii="Cambria" w:cs="Cambria" w:eastAsia="Cambria" w:hAnsi="Cambria"/>
          <w:b w:val="1"/>
          <w:bCs w:val="1"/>
          <w:color w:val="000000"/>
          <w:sz w:val="26"/>
          <w:szCs w:val="26"/>
        </w:rPr>
      </w:pPr>
      <w:bookmarkStart w:colFirst="0" w:colLast="0" w:name="_4dlmu075eg1m" w:id="4"/>
      <w:bookmarkEnd w:id="4"/>
      <w:r w:rsidDel="00000000" w:rsidR="00000000" w:rsidRPr="00000000">
        <w:rPr>
          <w:rFonts w:ascii="Cambria" w:cs="Cambria" w:eastAsia="Cambria" w:hAnsi="Cambria"/>
          <w:b w:val="1"/>
          <w:bCs w:val="1"/>
          <w:color w:val="000000"/>
          <w:sz w:val="26"/>
          <w:szCs w:val="26"/>
          <w:rtl w:val="0"/>
        </w:rPr>
        <w:t xml:space="preserve">2.3 Risk Interdependencies</w:t>
      </w:r>
    </w:p>
    <w:p w:rsidR="00000000" w:rsidDel="00000000" w:rsidP="00000000" w:rsidRDefault="00000000" w:rsidRPr="00000000" w14:paraId="0000001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Several of the identified risks are interdependent, meaning the materialization of one risk can amplify the likelihood or impact of others. These interdependencies are important to recognize because they affect how risks should be modeled and how response strategies should be sequenced.</w:t>
      </w:r>
    </w:p>
    <w:p w:rsidR="00000000" w:rsidDel="00000000" w:rsidP="00000000" w:rsidRDefault="00000000" w:rsidRPr="00000000" w14:paraId="0000001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R-01 (Cybersecurity Breach) and R-17 (Fraud Spike) are operationally distinct but temporally correlated. R-01 concerns external breach of EQB's systems, while R-17 concerns criminal exploitation of the customer facing integration confusion period (overlapping customer databases, temporary dual system access, inconsistent identity verification). Both risks peak during the same integration window, and a cybersecurity breach could directly enable or accelerate fraud incidents.</w:t>
      </w:r>
    </w:p>
    <w:p w:rsidR="00000000" w:rsidDel="00000000" w:rsidP="00000000" w:rsidRDefault="00000000" w:rsidRPr="00000000" w14:paraId="0000001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R-02 (Regulatory Delay) amplifies R-03 (Customer Attrition). A prolonged approval period extends the window during which competitors can target PC Financial customers before EQB can deploy its cross sell strategy. Every additional month of regulatory uncertainty is a month in which the Big Six and fintechs have time to launch targeted offers aimed at this customer base.</w:t>
      </w:r>
    </w:p>
    <w:p w:rsidR="00000000" w:rsidDel="00000000" w:rsidP="00000000" w:rsidRDefault="00000000" w:rsidRPr="00000000" w14:paraId="0000001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R-03 (Customer Attrition) directly reduces the addressable base for R-38 (Cross Sell Conversion). This is a particularly important link because it means that threat risk materialization in one area erodes the upside opportunity in another. Customers lost to attrition are customers permanently removed from the cross sell funnel.</w:t>
      </w:r>
    </w:p>
    <w:p w:rsidR="00000000" w:rsidDel="00000000" w:rsidP="00000000" w:rsidRDefault="00000000" w:rsidRPr="00000000" w14:paraId="0000001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These interdependencies are accounted for in the quantitative assessment sections of this report, where correlated risks are modeled jointly rather than in isolation.</w:t>
      </w:r>
    </w:p>
    <w:p w:rsidR="00000000" w:rsidDel="00000000" w:rsidP="00000000" w:rsidRDefault="00000000" w:rsidRPr="00000000" w14:paraId="0000001E">
      <w:pPr>
        <w:pStyle w:val="Heading3"/>
        <w:keepNext w:val="0"/>
        <w:keepLines w:val="0"/>
        <w:spacing w:before="280" w:lineRule="auto"/>
        <w:rPr>
          <w:rFonts w:ascii="Cambria" w:cs="Cambria" w:eastAsia="Cambria" w:hAnsi="Cambria"/>
          <w:b w:val="1"/>
          <w:bCs w:val="1"/>
          <w:color w:val="000000"/>
          <w:sz w:val="26"/>
          <w:szCs w:val="26"/>
        </w:rPr>
      </w:pPr>
      <w:bookmarkStart w:colFirst="0" w:colLast="0" w:name="_eo5mnu84nyuf" w:id="5"/>
      <w:bookmarkEnd w:id="5"/>
      <w:r w:rsidDel="00000000" w:rsidR="00000000" w:rsidRPr="00000000">
        <w:rPr>
          <w:rFonts w:ascii="Cambria" w:cs="Cambria" w:eastAsia="Cambria" w:hAnsi="Cambria"/>
          <w:b w:val="1"/>
          <w:bCs w:val="1"/>
          <w:color w:val="000000"/>
          <w:sz w:val="26"/>
          <w:szCs w:val="26"/>
          <w:rtl w:val="0"/>
        </w:rPr>
        <w:t xml:space="preserve">2.4 Selection of Risks for Quantitative Assessment</w:t>
      </w:r>
    </w:p>
    <w:p w:rsidR="00000000" w:rsidDel="00000000" w:rsidP="00000000" w:rsidRDefault="00000000" w:rsidRPr="00000000" w14:paraId="0000001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From the 40 risk register, five risks were selected for detailed quantitative assessment in subsequent sections. The selection was based on three criteria: priority classification (High priority risks were prioritized), category coverage (the selected risks span four distinct risk categories to ensure analytical breadth), and the availability of measurable leading indicators suitable for I&amp;W analysis and quantifiable cost or revenue impact parameters suitable for Monte Carlo simulation.</w:t>
      </w:r>
    </w:p>
    <w:p w:rsidR="00000000" w:rsidDel="00000000" w:rsidP="00000000" w:rsidRDefault="00000000" w:rsidRPr="00000000" w14:paraId="0000002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five risks selected are: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Fonts w:ascii="Cambria" w:cs="Cambria" w:eastAsia="Cambria" w:hAnsi="Cambria"/>
          <w:b w:val="1"/>
          <w:bCs w:val="1"/>
          <w:rtl w:val="0"/>
        </w:rPr>
        <w:t xml:space="preserve">R-01: Cybersecurity Breach During System Integration</w:t>
      </w:r>
      <w:r w:rsidDel="00000000" w:rsidR="00000000" w:rsidRPr="00000000">
        <w:rPr>
          <w:rFonts w:ascii="Cambria" w:cs="Cambria" w:eastAsia="Cambria" w:hAnsi="Cambria"/>
          <w:rtl w:val="0"/>
        </w:rPr>
        <w:t xml:space="preserve"> (Operational/Cyber, Score 81, High). The highest scoring threat risk in the register, carrying severe tail risk with potential regulatory fines, class action liability, customer attrition, and reputational damage.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R-02: Regulatory Approval Delay by OSFI/Minister of Finance</w:t>
      </w:r>
      <w:r w:rsidDel="00000000" w:rsidR="00000000" w:rsidRPr="00000000">
        <w:rPr>
          <w:rFonts w:ascii="Cambria" w:cs="Cambria" w:eastAsia="Cambria" w:hAnsi="Cambria"/>
          <w:rtl w:val="0"/>
        </w:rPr>
        <w:t xml:space="preserve"> (Regulatory, Score 24, Medium). Included despite its Medium classification because a prolonged or conditional approval has the potential to delay the entire acquisition timeline and permanently impair the deal's financial rationale.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R-03: Customer Attrition from PC Financial Portfolio Post Migration</w:t>
      </w:r>
      <w:r w:rsidDel="00000000" w:rsidR="00000000" w:rsidRPr="00000000">
        <w:rPr>
          <w:rFonts w:ascii="Cambria" w:cs="Cambria" w:eastAsia="Cambria" w:hAnsi="Cambria"/>
          <w:rtl w:val="0"/>
        </w:rPr>
        <w:t xml:space="preserve"> (Strategic/Customer, Score 56, High). A direct threat to the revenue thesis of the acquisition and the primary risk to cross sell conversion targets.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Cambria" w:cs="Cambria" w:eastAsia="Cambria" w:hAnsi="Cambria"/>
          <w:b w:val="1"/>
          <w:bCs w:val="1"/>
          <w:rtl w:val="0"/>
        </w:rPr>
        <w:t xml:space="preserve">R-17: Fraud Spike During Integration</w:t>
      </w:r>
      <w:r w:rsidDel="00000000" w:rsidR="00000000" w:rsidRPr="00000000">
        <w:rPr>
          <w:rFonts w:ascii="Cambria" w:cs="Cambria" w:eastAsia="Cambria" w:hAnsi="Cambria"/>
          <w:rtl w:val="0"/>
        </w:rPr>
        <w:t xml:space="preserve"> (Operational/Fraud, Score 54, High). An operationally distinct risk from cybersecurity that captures criminal exploitation of the customer facing integration confusion period.</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Fonts w:ascii="Cambria" w:cs="Cambria" w:eastAsia="Cambria" w:hAnsi="Cambria"/>
          <w:b w:val="1"/>
          <w:bCs w:val="1"/>
          <w:rtl w:val="0"/>
        </w:rPr>
        <w:t xml:space="preserve">R-38: Cross Sell Conversion Opportunity</w:t>
      </w:r>
      <w:r w:rsidDel="00000000" w:rsidR="00000000" w:rsidRPr="00000000">
        <w:rPr>
          <w:rFonts w:ascii="Cambria" w:cs="Cambria" w:eastAsia="Cambria" w:hAnsi="Cambria"/>
          <w:rtl w:val="0"/>
        </w:rPr>
        <w:t xml:space="preserve"> (Strategic Opportunity, Score 81, High). The highest scoring positive risk, included to demonstrate that I&amp;W analysis and Monte Carlo simulation apply equally to upside opportunities, and because this risk represents the financial foundation of EQB's acquisition rationale.</w:t>
      </w:r>
    </w:p>
    <w:p w:rsidR="00000000" w:rsidDel="00000000" w:rsidP="00000000" w:rsidRDefault="00000000" w:rsidRPr="00000000" w14:paraId="0000002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detailed quantitative assessment of these five risks, including statistical probability estimation, ML based predictive modeling, Monte Carlo simulation, and integrated situation assessment, is presented in the sections that follow.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