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E9A9F4" wp14:paraId="01EEF9E1" wp14:textId="748BB255">
      <w:pPr>
        <w:spacing w:before="0" w:beforeAutospacing="off" w:after="0" w:afterAutospacing="off"/>
      </w:pPr>
    </w:p>
    <w:p xmlns:wp14="http://schemas.microsoft.com/office/word/2010/wordml" w:rsidP="11E9A9F4" wp14:paraId="41CC050E" wp14:textId="23D8D535">
      <w:pPr>
        <w:pStyle w:val="Heading2"/>
        <w:spacing w:before="0" w:beforeAutospacing="off" w:after="120" w:afterAutospacing="off"/>
      </w:pPr>
      <w:r w:rsidRPr="11E9A9F4" w:rsidR="17F0C678">
        <w:rPr>
          <w:rFonts w:ascii="Aptos" w:hAnsi="Aptos" w:eastAsia="Aptos" w:cs="Aptos"/>
          <w:b w:val="1"/>
          <w:bCs w:val="1"/>
          <w:noProof w:val="0"/>
          <w:color w:val="1F1F1F"/>
          <w:sz w:val="45"/>
          <w:szCs w:val="45"/>
          <w:lang w:val="en-US"/>
        </w:rPr>
        <w:t>Project Overview: Credit Card Performance Dashboard</w:t>
      </w:r>
    </w:p>
    <w:p xmlns:wp14="http://schemas.microsoft.com/office/word/2010/wordml" w:rsidP="11E9A9F4" wp14:paraId="2842B24D" wp14:textId="4341BC76">
      <w:pPr>
        <w:pStyle w:val="Heading3"/>
        <w:spacing w:before="0" w:beforeAutospacing="off" w:after="120" w:afterAutospacing="off"/>
      </w:pPr>
      <w:r w:rsidRPr="11E9A9F4" w:rsidR="17F0C678">
        <w:rPr>
          <w:rFonts w:ascii="Aptos" w:hAnsi="Aptos" w:eastAsia="Aptos" w:cs="Aptos"/>
          <w:b w:val="1"/>
          <w:bCs w:val="1"/>
          <w:noProof w:val="0"/>
          <w:color w:val="1F1F1F"/>
          <w:sz w:val="35"/>
          <w:szCs w:val="35"/>
          <w:lang w:val="en-US"/>
        </w:rPr>
        <w:t>1. Development Approach</w:t>
      </w:r>
    </w:p>
    <w:p xmlns:wp14="http://schemas.microsoft.com/office/word/2010/wordml" w:rsidP="11E9A9F4" wp14:paraId="0D184599" wp14:textId="4E77A5F0">
      <w:pPr>
        <w:spacing w:before="0" w:beforeAutospacing="off" w:after="120" w:afterAutospacing="off"/>
      </w:pPr>
      <w:r w:rsidRPr="11E9A9F4" w:rsidR="17F0C67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The report was engineered to provide high-level visibility into credit utilization and transaction patterns.</w:t>
      </w:r>
    </w:p>
    <w:p xmlns:wp14="http://schemas.microsoft.com/office/word/2010/wordml" w:rsidP="11E9A9F4" wp14:paraId="522FFBDF" wp14:textId="6257853E">
      <w:pPr>
        <w:pStyle w:val="ListParagraph"/>
        <w:numPr>
          <w:ilvl w:val="0"/>
          <w:numId w:val="1"/>
        </w:numPr>
        <w:spacing w:before="300" w:beforeAutospacing="off" w:after="30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11E9A9F4" w:rsidR="17F0C67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Data Structure:</w:t>
      </w:r>
      <w:r w:rsidRPr="11E9A9F4" w:rsidR="17F0C67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The core model was built using a </w:t>
      </w:r>
      <w:r w:rsidRPr="11E9A9F4" w:rsidR="17F0C67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DataModelSchema</w:t>
      </w:r>
      <w:r w:rsidRPr="11E9A9F4" w:rsidR="17F0C67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that connects transaction history with customer demographics.</w:t>
      </w:r>
    </w:p>
    <w:p xmlns:wp14="http://schemas.microsoft.com/office/word/2010/wordml" w:rsidP="11E9A9F4" wp14:paraId="187A0EE6" wp14:textId="75F2837B">
      <w:pPr>
        <w:pStyle w:val="ListParagraph"/>
        <w:numPr>
          <w:ilvl w:val="0"/>
          <w:numId w:val="1"/>
        </w:numPr>
        <w:spacing w:before="300" w:beforeAutospacing="off" w:after="30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11E9A9F4" w:rsidR="17F0C67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Thematic Design:</w:t>
      </w:r>
      <w:r w:rsidRPr="11E9A9F4" w:rsidR="17F0C67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I applied the </w:t>
      </w:r>
      <w:r w:rsidRPr="11E9A9F4" w:rsidR="17F0C67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CY25SU11 base theme</w:t>
      </w:r>
      <w:r w:rsidRPr="11E9A9F4" w:rsidR="17F0C67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to ensure a modern, high-contrast visual interface that aligns with standard financial reporting aesthetics.</w:t>
      </w:r>
    </w:p>
    <w:p xmlns:wp14="http://schemas.microsoft.com/office/word/2010/wordml" w:rsidP="11E9A9F4" wp14:paraId="45AC6BB6" wp14:textId="6716CC39">
      <w:pPr>
        <w:pStyle w:val="ListParagraph"/>
        <w:numPr>
          <w:ilvl w:val="0"/>
          <w:numId w:val="1"/>
        </w:numPr>
        <w:spacing w:before="300" w:beforeAutospacing="off" w:after="30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11E9A9F4" w:rsidR="17F0C67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Interactive Layering:</w:t>
      </w:r>
      <w:r w:rsidRPr="11E9A9F4" w:rsidR="17F0C67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Using the </w:t>
      </w:r>
      <w:r w:rsidRPr="11E9A9F4" w:rsidR="17F0C67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Report/Layout</w:t>
      </w:r>
      <w:r w:rsidRPr="11E9A9F4" w:rsidR="17F0C67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architecture, I implemented drill-down capabilities that allow users to move from "Total Spend" views into specific merchant categories or time intervals.</w:t>
      </w:r>
    </w:p>
    <w:p xmlns:wp14="http://schemas.microsoft.com/office/word/2010/wordml" w:rsidP="11E9A9F4" wp14:paraId="036AB42C" wp14:textId="1C285FFD">
      <w:pPr>
        <w:pStyle w:val="Heading3"/>
        <w:spacing w:before="0" w:beforeAutospacing="off" w:after="120" w:afterAutospacing="off"/>
      </w:pPr>
      <w:r w:rsidRPr="11E9A9F4" w:rsidR="17F0C678">
        <w:rPr>
          <w:rFonts w:ascii="Aptos" w:hAnsi="Aptos" w:eastAsia="Aptos" w:cs="Aptos"/>
          <w:b w:val="1"/>
          <w:bCs w:val="1"/>
          <w:noProof w:val="0"/>
          <w:color w:val="1F1F1F"/>
          <w:sz w:val="35"/>
          <w:szCs w:val="35"/>
          <w:lang w:val="en-US"/>
        </w:rPr>
        <w:t>2. Key Insights</w:t>
      </w:r>
    </w:p>
    <w:p xmlns:wp14="http://schemas.microsoft.com/office/word/2010/wordml" w:rsidP="11E9A9F4" wp14:paraId="0FE3BBEC" wp14:textId="3F11104D">
      <w:pPr>
        <w:pStyle w:val="ListParagraph"/>
        <w:numPr>
          <w:ilvl w:val="0"/>
          <w:numId w:val="2"/>
        </w:numPr>
        <w:spacing w:before="300" w:beforeAutospacing="off" w:after="30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11E9A9F4" w:rsidR="17F0C67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Spending Velocity:</w:t>
      </w:r>
      <w:r w:rsidRPr="11E9A9F4" w:rsidR="17F0C67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By analyzing the </w:t>
      </w:r>
      <w:r w:rsidRPr="11E9A9F4" w:rsidR="17F0C67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DiagramLayout</w:t>
      </w:r>
      <w:r w:rsidRPr="11E9A9F4" w:rsidR="17F0C67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, the report identifies peak spending periods, helping the finance team anticipate credit demand.</w:t>
      </w:r>
    </w:p>
    <w:p xmlns:wp14="http://schemas.microsoft.com/office/word/2010/wordml" w:rsidP="11E9A9F4" wp14:paraId="09226171" wp14:textId="5BF50525">
      <w:pPr>
        <w:pStyle w:val="ListParagraph"/>
        <w:numPr>
          <w:ilvl w:val="0"/>
          <w:numId w:val="2"/>
        </w:numPr>
        <w:spacing w:before="300" w:beforeAutospacing="off" w:after="30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11E9A9F4" w:rsidR="17F0C67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Risk Indicators:</w:t>
      </w:r>
      <w:r w:rsidRPr="11E9A9F4" w:rsidR="17F0C67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The dashboard highlights anomalies in transaction data, serving as an early warning system for potential credit over-extension or unusual activity.</w:t>
      </w:r>
    </w:p>
    <w:p xmlns:wp14="http://schemas.microsoft.com/office/word/2010/wordml" w:rsidP="11E9A9F4" wp14:paraId="4836ED30" wp14:textId="285BCDEE">
      <w:pPr>
        <w:pStyle w:val="ListParagraph"/>
        <w:numPr>
          <w:ilvl w:val="0"/>
          <w:numId w:val="2"/>
        </w:numPr>
        <w:spacing w:before="300" w:beforeAutospacing="off" w:after="30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11E9A9F4" w:rsidR="17F0C67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Consistency:</w:t>
      </w:r>
      <w:r w:rsidRPr="11E9A9F4" w:rsidR="17F0C67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Through the use of </w:t>
      </w:r>
      <w:r w:rsidRPr="11E9A9F4" w:rsidR="17F0C67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Metadata</w:t>
      </w:r>
      <w:r w:rsidRPr="11E9A9F4" w:rsidR="17F0C67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and standardized </w:t>
      </w:r>
      <w:r w:rsidRPr="11E9A9F4" w:rsidR="17F0C67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Settings</w:t>
      </w:r>
      <w:r w:rsidRPr="11E9A9F4" w:rsidR="17F0C67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, the report ensures that KPIs like "Average Transaction Value" remain consistent across different regional filters.</w:t>
      </w:r>
    </w:p>
    <w:p xmlns:wp14="http://schemas.microsoft.com/office/word/2010/wordml" w:rsidP="11E9A9F4" wp14:paraId="36027999" wp14:textId="7F434C33">
      <w:pPr>
        <w:pStyle w:val="Heading3"/>
        <w:spacing w:before="0" w:beforeAutospacing="off" w:after="120" w:afterAutospacing="off"/>
      </w:pPr>
      <w:r w:rsidRPr="11E9A9F4" w:rsidR="17F0C678">
        <w:rPr>
          <w:rFonts w:ascii="Aptos" w:hAnsi="Aptos" w:eastAsia="Aptos" w:cs="Aptos"/>
          <w:b w:val="1"/>
          <w:bCs w:val="1"/>
          <w:noProof w:val="0"/>
          <w:color w:val="1F1F1F"/>
          <w:sz w:val="35"/>
          <w:szCs w:val="35"/>
          <w:lang w:val="en-US"/>
        </w:rPr>
        <w:t>3. Challenges Faced</w:t>
      </w:r>
    </w:p>
    <w:p xmlns:wp14="http://schemas.microsoft.com/office/word/2010/wordml" w:rsidP="11E9A9F4" wp14:paraId="2FC62B71" wp14:textId="7D75CBD0">
      <w:pPr>
        <w:pStyle w:val="ListParagraph"/>
        <w:numPr>
          <w:ilvl w:val="0"/>
          <w:numId w:val="3"/>
        </w:numPr>
        <w:spacing w:before="300" w:beforeAutospacing="off" w:after="30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11E9A9F4" w:rsidR="17F0C67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Schema Complexity:</w:t>
      </w:r>
      <w:r w:rsidRPr="11E9A9F4" w:rsidR="17F0C67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Mapping the </w:t>
      </w:r>
      <w:r w:rsidRPr="11E9A9F4" w:rsidR="17F0C67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DataModelSchema</w:t>
      </w:r>
      <w:r w:rsidRPr="11E9A9F4" w:rsidR="17F0C67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required careful management of many-to-one relationships between unique cardholders and their frequent transaction records.</w:t>
      </w:r>
    </w:p>
    <w:p xmlns:wp14="http://schemas.microsoft.com/office/word/2010/wordml" w:rsidP="11E9A9F4" wp14:paraId="0C26D18B" wp14:textId="61C40689">
      <w:pPr>
        <w:pStyle w:val="ListParagraph"/>
        <w:numPr>
          <w:ilvl w:val="0"/>
          <w:numId w:val="3"/>
        </w:numPr>
        <w:spacing w:before="300" w:beforeAutospacing="off" w:after="30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11E9A9F4" w:rsidR="17F0C67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Formatting Synchronization:</w:t>
      </w:r>
      <w:r w:rsidRPr="11E9A9F4" w:rsidR="17F0C67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Aligning the </w:t>
      </w:r>
      <w:r w:rsidRPr="11E9A9F4" w:rsidR="17F0C67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StaticResources</w:t>
      </w:r>
      <w:r w:rsidRPr="11E9A9F4" w:rsidR="17F0C67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and themes across multiple report pages required manual adjustments in the </w:t>
      </w:r>
      <w:r w:rsidRPr="11E9A9F4" w:rsidR="17F0C67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Report/Layout</w:t>
      </w:r>
      <w:r w:rsidRPr="11E9A9F4" w:rsidR="17F0C67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to ensure visual elements didn't overlap on different screen resolutions.</w:t>
      </w:r>
    </w:p>
    <w:p xmlns:wp14="http://schemas.microsoft.com/office/word/2010/wordml" w:rsidP="11E9A9F4" wp14:paraId="3F4AE080" wp14:textId="7CF6F22B">
      <w:pPr>
        <w:pStyle w:val="ListParagraph"/>
        <w:numPr>
          <w:ilvl w:val="0"/>
          <w:numId w:val="3"/>
        </w:numPr>
        <w:spacing w:before="300" w:beforeAutospacing="off" w:after="30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11E9A9F4" w:rsidR="17F0C67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Security Integration:</w:t>
      </w:r>
      <w:r w:rsidRPr="11E9A9F4" w:rsidR="17F0C67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Implementing </w:t>
      </w:r>
      <w:r w:rsidRPr="11E9A9F4" w:rsidR="17F0C67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SecurityBindings</w:t>
      </w:r>
      <w:r w:rsidRPr="11E9A9F4" w:rsidR="17F0C678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was essential to ensure that sensitive financial data is only visible to authorized personnel, which added a layer of complexity to the initial deployment phase.</w:t>
      </w:r>
    </w:p>
    <w:p xmlns:wp14="http://schemas.microsoft.com/office/word/2010/wordml" w:rsidP="11E9A9F4" wp14:paraId="2C078E63" wp14:textId="1391540A">
      <w:pPr>
        <w:pStyle w:val="Normal"/>
        <w:spacing w:before="0" w:beforeAutospacing="off" w:after="0" w:afterAutospacing="off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391f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141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8ce4d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FF7089"/>
    <w:rsid w:val="11E9A9F4"/>
    <w:rsid w:val="17F0C678"/>
    <w:rsid w:val="37FF7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F7089"/>
  <w15:chartTrackingRefBased/>
  <w15:docId w15:val="{B7C5DC78-B69F-42C2-9A8C-55E1A9EACB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1E9A9F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1E9A9F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1E9A9F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dce624b626c43a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2026-01-30T07:53:34.3127305Z</dcterms:created>
  <dcterms:modified xsi:type="dcterms:W3CDTF">2026-01-30T07:54:24.3201772Z</dcterms:modified>
  <dc:creator>Priyadarshini Padhi</dc:creator>
  <lastModifiedBy>Priyadarshini Padhi</lastModifiedBy>
</coreProperties>
</file>