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C8EFCB" wp14:paraId="26FC2F1C" wp14:textId="09C09580">
      <w:pPr>
        <w:pStyle w:val="Heading2"/>
        <w:spacing w:before="373" w:beforeAutospacing="off" w:after="373" w:afterAutospacing="off"/>
      </w:pPr>
      <w:r w:rsidRPr="7BC8EFCB" w:rsidR="27BC2BE6">
        <w:rPr>
          <w:rFonts w:ascii="Aptos" w:hAnsi="Aptos" w:eastAsia="Aptos" w:cs="Aptos"/>
          <w:b w:val="1"/>
          <w:bCs w:val="1"/>
          <w:noProof w:val="0"/>
          <w:sz w:val="45"/>
          <w:szCs w:val="45"/>
          <w:lang w:val="en-US"/>
        </w:rPr>
        <w:t>Financial Dashboard: Logic, Insights, and Assumptions</w:t>
      </w:r>
    </w:p>
    <w:p xmlns:wp14="http://schemas.microsoft.com/office/word/2010/wordml" w:rsidP="7BC8EFCB" wp14:paraId="4F0F0418" wp14:textId="631463DA">
      <w:pPr>
        <w:pStyle w:val="Heading2"/>
        <w:spacing w:before="373" w:beforeAutospacing="off" w:after="373" w:afterAutospacing="off"/>
        <w:rPr>
          <w:rFonts w:ascii="Aptos" w:hAnsi="Aptos" w:eastAsia="Aptos" w:cs="Aptos"/>
          <w:b w:val="1"/>
          <w:bCs w:val="1"/>
          <w:noProof w:val="0"/>
          <w:color w:val="auto"/>
          <w:sz w:val="35"/>
          <w:szCs w:val="35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color w:val="auto"/>
          <w:sz w:val="35"/>
          <w:szCs w:val="35"/>
          <w:lang w:val="en-US"/>
        </w:rPr>
        <w:t>1. Logic and Data Modeling</w:t>
      </w:r>
    </w:p>
    <w:p xmlns:wp14="http://schemas.microsoft.com/office/word/2010/wordml" w:rsidP="7BC8EFCB" wp14:paraId="6B620677" wp14:textId="14D94219">
      <w:pPr>
        <w:spacing w:before="300" w:beforeAutospacing="off" w:after="300" w:afterAutospacing="off"/>
      </w:pP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The dashboard's architecture focuses on integrating disparate financial datasets into a cohesive, interactive model.</w:t>
      </w:r>
    </w:p>
    <w:p xmlns:wp14="http://schemas.microsoft.com/office/word/2010/wordml" w:rsidP="7BC8EFCB" wp14:paraId="15D9B879" wp14:textId="281CFA21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 Schema Construction: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centralized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Calendar Table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implemented to allow for uniform filtering by month, quarter, and year across P&amp;L, Cash Flow, and Sales data.</w:t>
      </w:r>
    </w:p>
    <w:p xmlns:wp14="http://schemas.microsoft.com/office/word/2010/wordml" w:rsidP="7BC8EFCB" wp14:paraId="3C782E5A" wp14:textId="001F48E6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KPI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&amp; Profitability: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Measures were built to calculate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Gross Margin %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EBITDA %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assess operational efficiency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relative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top-line growth.</w:t>
      </w:r>
    </w:p>
    <w:p xmlns:wp14="http://schemas.microsoft.com/office/word/2010/wordml" w:rsidP="7BC8EFCB" wp14:paraId="128F4E2B" wp14:textId="4299702B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Variance: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vs. Actuals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 was applied,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utilizing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variance percentage calculations to highlight fiscal performance gaps.</w:t>
      </w:r>
    </w:p>
    <w:p xmlns:wp14="http://schemas.microsoft.com/office/word/2010/wordml" w:rsidP="7BC8EFCB" wp14:paraId="7AD37A18" wp14:textId="0B53B552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Aging Logic: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Receivables Aging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 uses conditional logic to bucket outstanding invoices into 30, 60, and 90+ day categories,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providing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 view of liquidity risk.</w:t>
      </w:r>
    </w:p>
    <w:p xmlns:wp14="http://schemas.microsoft.com/office/word/2010/wordml" w:rsidP="7BC8EFCB" wp14:paraId="756D99C4" wp14:textId="433DD03F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Strategy: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Flow Waterfall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utilized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bridge the gap between EBITDA and Net Cash, detailing how inflows and outflows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impact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final cash position.</w:t>
      </w:r>
    </w:p>
    <w:p xmlns:wp14="http://schemas.microsoft.com/office/word/2010/wordml" w:rsidP="7BC8EFCB" wp14:paraId="2548829E" wp14:textId="29AC7594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b w:val="1"/>
          <w:bCs w:val="1"/>
          <w:noProof w:val="0"/>
          <w:sz w:val="35"/>
          <w:szCs w:val="35"/>
          <w:lang w:val="en-US"/>
        </w:rPr>
      </w:pPr>
    </w:p>
    <w:p xmlns:wp14="http://schemas.microsoft.com/office/word/2010/wordml" w:rsidP="7BC8EFCB" wp14:paraId="429B8298" wp14:textId="52107FAA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35"/>
          <w:szCs w:val="35"/>
          <w:lang w:val="en-US"/>
        </w:rPr>
        <w:t>2. Key Business Insights</w:t>
      </w:r>
    </w:p>
    <w:p xmlns:wp14="http://schemas.microsoft.com/office/word/2010/wordml" w:rsidP="7BC8EFCB" wp14:paraId="575AA0A3" wp14:textId="092C2436">
      <w:pPr>
        <w:spacing w:before="300" w:beforeAutospacing="off" w:after="300" w:afterAutospacing="off"/>
      </w:pP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The dashboard is designed to provide "at-a-glance" visibility into the company’s financial stability.</w:t>
      </w:r>
    </w:p>
    <w:p xmlns:wp14="http://schemas.microsoft.com/office/word/2010/wordml" w:rsidP="7BC8EFCB" wp14:paraId="1EFC101B" wp14:textId="5366F040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Analysis: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overlaying Revenue and Profit trends, users can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profit margins are scaling in proportion to sales or if COGS/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Opex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eroding gains.</w:t>
      </w:r>
    </w:p>
    <w:p xmlns:wp14="http://schemas.microsoft.com/office/word/2010/wordml" w:rsidP="7BC8EFCB" wp14:paraId="0FCD417D" wp14:textId="5FF73C44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Drivers: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Regional and Product-level filters allow the client to pinpoint which specific markets or services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are exceeding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 targets.</w:t>
      </w:r>
    </w:p>
    <w:p xmlns:wp14="http://schemas.microsoft.com/office/word/2010/wordml" w:rsidP="7BC8EFCB" wp14:paraId="0E69E1A4" wp14:textId="754D9E2E">
      <w:pPr>
        <w:pStyle w:val="ListParagraph"/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Flow Health: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interaction between Receivables Aging and Net Cash KPIs reveals potential bottlenecks in the collection process, which may be stifling available capital.</w:t>
      </w:r>
    </w:p>
    <w:p xmlns:wp14="http://schemas.microsoft.com/office/word/2010/wordml" w:rsidP="7BC8EFCB" wp14:paraId="1807CF68" wp14:textId="548F590B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Thematic Consistency: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report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utilizes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CY25SU11 theme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a professional, standard-compliant financial presentation.</w:t>
      </w:r>
    </w:p>
    <w:p xmlns:wp14="http://schemas.microsoft.com/office/word/2010/wordml" w:rsidP="7BC8EFCB" wp14:paraId="7A180BEB" wp14:textId="4DC4BC17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35"/>
          <w:szCs w:val="35"/>
          <w:lang w:val="en-US"/>
        </w:rPr>
        <w:t>3. Assumptions</w:t>
      </w:r>
    </w:p>
    <w:p xmlns:wp14="http://schemas.microsoft.com/office/word/2010/wordml" w:rsidP="7BC8EFCB" wp14:paraId="1F6BB240" wp14:textId="1E8213A9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is assumed that all historical monthly P&amp;L and Sales data provided are 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>finalized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reconciled with the general ledger.</w:t>
      </w:r>
    </w:p>
    <w:p xmlns:wp14="http://schemas.microsoft.com/office/word/2010/wordml" w:rsidP="7BC8EFCB" wp14:paraId="5E3B0E79" wp14:textId="5303C5E6">
      <w:pPr>
        <w:pStyle w:val="ListParagraph"/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Budgeting: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Budget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 assumed to be a fixed target set at the beginning of the fiscal year, used as the baseline for all variance analysis.</w:t>
      </w:r>
    </w:p>
    <w:p xmlns:wp14="http://schemas.microsoft.com/office/word/2010/wordml" w:rsidP="7BC8EFCB" wp14:paraId="5270A4F8" wp14:textId="75F7DA31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Currency &amp; Standard: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Unless otherwise specified, all data is assumed to be in a single currency with a standard Gregorian calendar fiscal year starting in January.</w:t>
      </w:r>
    </w:p>
    <w:p xmlns:wp14="http://schemas.microsoft.com/office/word/2010/wordml" w:rsidP="7BC8EFCB" wp14:paraId="46E4AF21" wp14:textId="576C089C">
      <w:pPr>
        <w:pStyle w:val="ListParagraph"/>
        <w:spacing w:before="300" w:beforeAutospacing="off" w:after="30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C8EFCB" w:rsidR="760D6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Drill-Down Depth:</w:t>
      </w:r>
      <w:r w:rsidRPr="7BC8EFCB" w:rsidR="760D6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is assumed that users require granularity down to the product category level but not necessarily down to individual transaction IDs.</w:t>
      </w:r>
    </w:p>
    <w:p xmlns:wp14="http://schemas.microsoft.com/office/word/2010/wordml" wp14:paraId="2C078E63" wp14:textId="4D28986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3217E7"/>
    <w:rsid w:val="27BC2BE6"/>
    <w:rsid w:val="613217E7"/>
    <w:rsid w:val="6354C941"/>
    <w:rsid w:val="760D60C0"/>
    <w:rsid w:val="7BC8E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17E7"/>
  <w15:chartTrackingRefBased/>
  <w15:docId w15:val="{76EA8C09-C2A3-4BA2-8328-A2058F49BE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BC8EF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C8EF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C8EF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2026-01-30T07:01:14.0103627Z</dcterms:created>
  <dcterms:modified xsi:type="dcterms:W3CDTF">2026-01-30T07:04:34.9990324Z</dcterms:modified>
  <dc:creator>Priyadarshini Padhi</dc:creator>
  <lastModifiedBy>Priyadarshini Padhi</lastModifiedBy>
</coreProperties>
</file>