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1A03B">
      <w:pPr>
        <w:pStyle w:val="2"/>
        <w:spacing w:after="60" w:line="24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Nectar Intelligent Facilities Analytics</w:t>
      </w:r>
    </w:p>
    <w:p w14:paraId="34B2190E">
      <w:pPr>
        <w:spacing w:line="240" w:lineRule="auto"/>
        <w:jc w:val="center"/>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End-to-End IoT Analytics, Machine Learning, Forecasting, Anomaly Detection &amp; Connectivity</w:t>
      </w:r>
    </w:p>
    <w:p w14:paraId="219F9639">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Executive Summary</w:t>
      </w:r>
    </w:p>
    <w:p w14:paraId="0780124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project develops an end-to-end analytics solution for connected commercial-facility assets. The workflow uses IoT telemetry, asset metadata, and asset connectivity information to understand equipment behavior, predict near-term failures, forecast building energy consumption, detect abnormal behavior, and analyze dependency relationships. The final application separates notebook-based analysis/training from saved artifacts used by the dashboard and API.</w:t>
      </w:r>
    </w:p>
    <w:p w14:paraId="2E50E34B">
      <w:pPr>
        <w:spacing w:line="240" w:lineRule="auto"/>
        <w:rPr>
          <w:rFonts w:hint="default" w:ascii="Times New Roman" w:hAnsi="Times New Roman" w:cs="Times New Roman"/>
          <w:color w:val="auto"/>
          <w:sz w:val="22"/>
          <w:szCs w:val="22"/>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8132"/>
      </w:tblGrid>
      <w:tr w14:paraId="5489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shd w:val="clear" w:color="auto" w:fill="D9EAF7"/>
          </w:tcPr>
          <w:p w14:paraId="7DB8B7AA">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Area</w:t>
            </w:r>
          </w:p>
        </w:tc>
        <w:tc>
          <w:tcPr>
            <w:tcW w:w="8132" w:type="dxa"/>
            <w:shd w:val="clear" w:color="auto" w:fill="D9EAF7"/>
          </w:tcPr>
          <w:p w14:paraId="1E938246">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Key Outcome</w:t>
            </w:r>
          </w:p>
        </w:tc>
      </w:tr>
      <w:tr w14:paraId="321D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vAlign w:val="center"/>
          </w:tcPr>
          <w:p w14:paraId="1C69F20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Dataset</w:t>
            </w:r>
          </w:p>
        </w:tc>
        <w:tc>
          <w:tcPr>
            <w:tcW w:w="8132" w:type="dxa"/>
            <w:vAlign w:val="center"/>
          </w:tcPr>
          <w:p w14:paraId="12E6F01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259,200 telemetry readings | 30 assets | 6 buildings | 3 sites | Jan–Mar 2026</w:t>
            </w:r>
          </w:p>
        </w:tc>
      </w:tr>
      <w:tr w14:paraId="4151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vAlign w:val="center"/>
          </w:tcPr>
          <w:p w14:paraId="50F178B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Task 1</w:t>
            </w:r>
          </w:p>
        </w:tc>
        <w:tc>
          <w:tcPr>
            <w:tcW w:w="8132" w:type="dxa"/>
            <w:vAlign w:val="center"/>
          </w:tcPr>
          <w:p w14:paraId="2E8076E6">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EDA, data-quality validation, temporal/asset behavior and failure/energy factor analysis</w:t>
            </w:r>
          </w:p>
        </w:tc>
      </w:tr>
      <w:tr w14:paraId="41A8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vAlign w:val="center"/>
          </w:tcPr>
          <w:p w14:paraId="22A68AA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Task 2</w:t>
            </w:r>
          </w:p>
        </w:tc>
        <w:tc>
          <w:tcPr>
            <w:tcW w:w="8132" w:type="dxa"/>
            <w:vAlign w:val="center"/>
          </w:tcPr>
          <w:p w14:paraId="254268D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24-hour failure prediction using a saved XGBoost pipeline</w:t>
            </w:r>
          </w:p>
        </w:tc>
      </w:tr>
      <w:tr w14:paraId="3507F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vAlign w:val="center"/>
          </w:tcPr>
          <w:p w14:paraId="40BF8E2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Task 3</w:t>
            </w:r>
          </w:p>
        </w:tc>
        <w:tc>
          <w:tcPr>
            <w:tcW w:w="8132" w:type="dxa"/>
            <w:vAlign w:val="center"/>
          </w:tcPr>
          <w:p w14:paraId="540ADB2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Building-level energy forecasting using hourly recursive models</w:t>
            </w:r>
          </w:p>
        </w:tc>
      </w:tr>
      <w:tr w14:paraId="59D2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vAlign w:val="center"/>
          </w:tcPr>
          <w:p w14:paraId="6114343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Task 4</w:t>
            </w:r>
          </w:p>
        </w:tc>
        <w:tc>
          <w:tcPr>
            <w:tcW w:w="8132" w:type="dxa"/>
            <w:vAlign w:val="center"/>
          </w:tcPr>
          <w:p w14:paraId="6554818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Hybrid anomaly detection using five complementary signals</w:t>
            </w:r>
          </w:p>
        </w:tc>
      </w:tr>
      <w:tr w14:paraId="4A74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vAlign w:val="center"/>
          </w:tcPr>
          <w:p w14:paraId="2A92C52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Task 5</w:t>
            </w:r>
          </w:p>
        </w:tc>
        <w:tc>
          <w:tcPr>
            <w:tcW w:w="8132" w:type="dxa"/>
            <w:vAlign w:val="center"/>
          </w:tcPr>
          <w:p w14:paraId="1BAC69F8">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Directed asset graph, failure-impact analysis and connectivity data-quality checks</w:t>
            </w:r>
          </w:p>
        </w:tc>
      </w:tr>
      <w:tr w14:paraId="5330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vAlign w:val="center"/>
          </w:tcPr>
          <w:p w14:paraId="3ECAD9B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Application</w:t>
            </w:r>
          </w:p>
        </w:tc>
        <w:tc>
          <w:tcPr>
            <w:tcW w:w="8132" w:type="dxa"/>
            <w:vAlign w:val="center"/>
          </w:tcPr>
          <w:p w14:paraId="22F725D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Streamlit dashboard + Flask REST API + GraphQL  interface</w:t>
            </w:r>
          </w:p>
        </w:tc>
      </w:tr>
    </w:tbl>
    <w:p w14:paraId="49E5555D">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Dataset &amp; Domain</w:t>
      </w:r>
    </w:p>
    <w:p w14:paraId="4E1993BA">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Telemetry records contain timestamp, site/building/asset identifiers, temperature, h</w:t>
      </w:r>
      <w:bookmarkStart w:id="0" w:name="_GoBack"/>
      <w:bookmarkEnd w:id="0"/>
      <w:r>
        <w:rPr>
          <w:rFonts w:hint="default" w:ascii="Times New Roman" w:hAnsi="Times New Roman" w:cs="Times New Roman"/>
          <w:color w:val="auto"/>
          <w:sz w:val="22"/>
          <w:szCs w:val="22"/>
        </w:rPr>
        <w:t>umidity, pressure, vibration, power consumption, occupancy, operating mode and fault flag.</w:t>
      </w:r>
    </w:p>
    <w:p w14:paraId="08D95E75">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Asset metadata provides asset type, manufacturer, installation date, capacity and parent-asset relationships.</w:t>
      </w:r>
    </w:p>
    <w:p w14:paraId="5769A6BE">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Connectivity data provides source asset, target asset, connection type and relationship strength.</w:t>
      </w:r>
    </w:p>
    <w:p w14:paraId="1D63A9B2">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application treats telemetry as asset behavior, metadata as asset context, and connectivity as dependency information.</w:t>
      </w:r>
    </w:p>
    <w:p w14:paraId="65E3C31A">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Overall Architecture</w:t>
      </w:r>
    </w:p>
    <w:p w14:paraId="3A2E098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Raw data → Jupyter notebooks → saved models/results/graphs → service layer → Flask REST/GraphQL → Streamlit dashboard. The dashboard does not retrain models; it consumes the saved artifacts produced by the notebooks.</w:t>
      </w:r>
    </w:p>
    <w:p w14:paraId="1FD54F05">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Overall Data-Quality Findings</w:t>
      </w:r>
    </w:p>
    <w:p w14:paraId="419E8CA9">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Missingness is limited: humidity 1.028%, temperature 0.984%, vibration 0.788%, pressure 0.772%.</w:t>
      </w:r>
    </w:p>
    <w:p w14:paraId="1BE646DE">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 duplicate telemetry rows or non-15-minute sampling intervals were identified.</w:t>
      </w:r>
    </w:p>
    <w:p w14:paraId="339772D1">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 negative vibration values or invalid fault flags were identified.</w:t>
      </w:r>
    </w:p>
    <w:p w14:paraId="21A2E69D">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Extreme values are retained as potential operational events rather than automatically removed.</w:t>
      </w:r>
    </w:p>
    <w:p w14:paraId="16E2108C">
      <w:pPr>
        <w:pStyle w:val="2"/>
        <w:spacing w:after="60"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Task 1 </w:t>
      </w:r>
      <w:r>
        <w:rPr>
          <w:rFonts w:hint="default" w:ascii="Times New Roman" w:hAnsi="Times New Roman" w:cs="Times New Roman"/>
          <w:color w:val="auto"/>
          <w:sz w:val="22"/>
          <w:szCs w:val="22"/>
          <w:lang w:val="en-IN"/>
        </w:rPr>
        <w:t>-</w:t>
      </w:r>
      <w:r>
        <w:rPr>
          <w:rFonts w:hint="default" w:ascii="Times New Roman" w:hAnsi="Times New Roman" w:cs="Times New Roman"/>
          <w:color w:val="auto"/>
          <w:sz w:val="22"/>
          <w:szCs w:val="22"/>
        </w:rPr>
        <w:t xml:space="preserve"> Exploratory Data Analysis</w:t>
      </w:r>
    </w:p>
    <w:p w14:paraId="765593B4">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w:t>
      </w:r>
    </w:p>
    <w:p w14:paraId="755B4A1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Understand distributions, missingness, temporal behavior, asset/site differences, failure-related signals, and factors associated with energy consumption. These findings establish the feature and modeling strategy for later tasks.</w:t>
      </w:r>
    </w:p>
    <w:p w14:paraId="5A8F15A4">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Key Statistical Findings</w:t>
      </w:r>
    </w:p>
    <w:p w14:paraId="4B75C711">
      <w:pPr>
        <w:spacing w:line="240" w:lineRule="auto"/>
        <w:rPr>
          <w:rFonts w:hint="default"/>
          <w:color w:val="auto"/>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4920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D9EAF7"/>
          </w:tcPr>
          <w:p w14:paraId="54A9A3CC">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Measure</w:t>
            </w:r>
          </w:p>
        </w:tc>
        <w:tc>
          <w:tcPr>
            <w:tcW w:w="5184" w:type="dxa"/>
            <w:shd w:val="clear" w:color="auto" w:fill="D9EAF7"/>
          </w:tcPr>
          <w:p w14:paraId="415F5232">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Finding</w:t>
            </w:r>
          </w:p>
        </w:tc>
      </w:tr>
      <w:tr w14:paraId="1BBB0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ABE4A2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Fault-positive readings</w:t>
            </w:r>
          </w:p>
        </w:tc>
        <w:tc>
          <w:tcPr>
            <w:tcW w:w="5184" w:type="dxa"/>
            <w:vAlign w:val="center"/>
          </w:tcPr>
          <w:p w14:paraId="1D513E1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270 (0.104%) in raw telemetry</w:t>
            </w:r>
          </w:p>
        </w:tc>
      </w:tr>
      <w:tr w14:paraId="5E9D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252A6E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Highest average site energy</w:t>
            </w:r>
          </w:p>
        </w:tc>
        <w:tc>
          <w:tcPr>
            <w:tcW w:w="5184" w:type="dxa"/>
            <w:vAlign w:val="center"/>
          </w:tcPr>
          <w:p w14:paraId="78CC529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SITE_02: 29.712</w:t>
            </w:r>
          </w:p>
        </w:tc>
      </w:tr>
      <w:tr w14:paraId="5CAE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6829FF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Lowest average site energy</w:t>
            </w:r>
          </w:p>
        </w:tc>
        <w:tc>
          <w:tcPr>
            <w:tcW w:w="5184" w:type="dxa"/>
            <w:vAlign w:val="center"/>
          </w:tcPr>
          <w:p w14:paraId="0E78C89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SITE_03: 28.768</w:t>
            </w:r>
          </w:p>
        </w:tc>
      </w:tr>
      <w:tr w14:paraId="63BF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412729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Energy Meter average energy</w:t>
            </w:r>
          </w:p>
        </w:tc>
        <w:tc>
          <w:tcPr>
            <w:tcW w:w="5184" w:type="dxa"/>
            <w:vAlign w:val="center"/>
          </w:tcPr>
          <w:p w14:paraId="2009ACE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62.692</w:t>
            </w:r>
          </w:p>
        </w:tc>
      </w:tr>
      <w:tr w14:paraId="4D30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1DABD3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Chiller average energy</w:t>
            </w:r>
          </w:p>
        </w:tc>
        <w:tc>
          <w:tcPr>
            <w:tcW w:w="5184" w:type="dxa"/>
            <w:vAlign w:val="center"/>
          </w:tcPr>
          <w:p w14:paraId="674D59E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42.486</w:t>
            </w:r>
          </w:p>
        </w:tc>
      </w:tr>
      <w:tr w14:paraId="0395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571614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AHU average energy</w:t>
            </w:r>
          </w:p>
        </w:tc>
        <w:tc>
          <w:tcPr>
            <w:tcW w:w="5184" w:type="dxa"/>
            <w:vAlign w:val="center"/>
          </w:tcPr>
          <w:p w14:paraId="7F04639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16.892</w:t>
            </w:r>
          </w:p>
        </w:tc>
      </w:tr>
      <w:tr w14:paraId="1F2F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13B433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Pump average energy</w:t>
            </w:r>
          </w:p>
        </w:tc>
        <w:tc>
          <w:tcPr>
            <w:tcW w:w="5184" w:type="dxa"/>
            <w:vAlign w:val="center"/>
          </w:tcPr>
          <w:p w14:paraId="14BE65B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7.600</w:t>
            </w:r>
          </w:p>
        </w:tc>
      </w:tr>
      <w:tr w14:paraId="495D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62FAC5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Highest average vibration</w:t>
            </w:r>
          </w:p>
        </w:tc>
        <w:tc>
          <w:tcPr>
            <w:tcW w:w="5184" w:type="dxa"/>
            <w:vAlign w:val="center"/>
          </w:tcPr>
          <w:p w14:paraId="1A18808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Pumps: 0.249</w:t>
            </w:r>
          </w:p>
        </w:tc>
      </w:tr>
      <w:tr w14:paraId="3D9B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462959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Highest average pressure</w:t>
            </w:r>
          </w:p>
        </w:tc>
        <w:tc>
          <w:tcPr>
            <w:tcW w:w="5184" w:type="dxa"/>
            <w:vAlign w:val="center"/>
          </w:tcPr>
          <w:p w14:paraId="07B9199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Pumps: 4.502</w:t>
            </w:r>
          </w:p>
        </w:tc>
      </w:tr>
    </w:tbl>
    <w:p w14:paraId="1884635F">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Failure-Related Observations</w:t>
      </w:r>
    </w:p>
    <w:p w14:paraId="6503C60D">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Fault readings have higher mean temperature (24.084 vs 22.513), vibration (0.540 vs 0.135), and power consumption (31.734 vs 29.310) than normal readings.</w:t>
      </w:r>
    </w:p>
    <w:p w14:paraId="02EE3873">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Vibration has the strongest simple association with the fault flag (approximately 0.162). This is an association, not proof of causation.</w:t>
      </w:r>
    </w:p>
    <w:p w14:paraId="320C69EE">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pre-fault analysis identified 5,112 readings within 24 hours of a recorded fault.</w:t>
      </w:r>
    </w:p>
    <w:p w14:paraId="1FA77620">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results support using recent vibration, pressure, power and temperature behavior in predictive-maintenance features.</w:t>
      </w:r>
    </w:p>
    <w:p w14:paraId="347305DB">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Energy-Related Observations</w:t>
      </w:r>
    </w:p>
    <w:p w14:paraId="6E1953C6">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Cooling has the highest average energy demand, followed by Heating and Idle.</w:t>
      </w:r>
    </w:p>
    <w:p w14:paraId="2BB00947">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Occupancy shows an approximately 0.410 positive association with energy consumption.</w:t>
      </w:r>
    </w:p>
    <w:p w14:paraId="0FEB4D45">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Temperature shows an approximately 0.304 positive association with energy consumption.</w:t>
      </w:r>
    </w:p>
    <w:p w14:paraId="6C979DBE">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Energy forecasting should therefore account for occupancy, temperature, operating mode, asset type, building/site and time.</w:t>
      </w:r>
    </w:p>
    <w:p w14:paraId="4899945F">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Business Value</w:t>
      </w:r>
    </w:p>
    <w:p w14:paraId="4466F3F3">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 sensor-specific missing-value handling and continuous IoT data-quality monitoring.</w:t>
      </w:r>
    </w:p>
    <w:p w14:paraId="21495E12">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 asset-specific health baselines instead of a single threshold across all equipment.</w:t>
      </w:r>
    </w:p>
    <w:p w14:paraId="743D69B9">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 occupancy-, temperature-, operating-mode- and time-aware energy baselines.</w:t>
      </w:r>
    </w:p>
    <w:p w14:paraId="6551BA01">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EDA findings directly inform predictive maintenance, energy forecasting and anomaly detection.</w:t>
      </w:r>
    </w:p>
    <w:p w14:paraId="46D83547">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EDA Deliverables</w:t>
      </w:r>
    </w:p>
    <w:p w14:paraId="1003E6D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notebook generates saved figures and summary tables under outputs/eda/figures and outputs/eda/tables. The Streamlit dashboard displays these saved notebook artifacts rather than reproducing a separate EDA pipeline.</w:t>
      </w:r>
    </w:p>
    <w:p w14:paraId="655B6D0C">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Task 2 </w:t>
      </w:r>
      <w:r>
        <w:rPr>
          <w:rFonts w:hint="default" w:ascii="Times New Roman" w:hAnsi="Times New Roman" w:cs="Times New Roman"/>
          <w:color w:val="auto"/>
          <w:sz w:val="22"/>
          <w:szCs w:val="22"/>
          <w:lang w:val="en-IN"/>
        </w:rPr>
        <w:t xml:space="preserve">- </w:t>
      </w:r>
      <w:r>
        <w:rPr>
          <w:rFonts w:hint="default" w:ascii="Times New Roman" w:hAnsi="Times New Roman" w:cs="Times New Roman"/>
          <w:color w:val="auto"/>
          <w:sz w:val="22"/>
          <w:szCs w:val="22"/>
        </w:rPr>
        <w:t xml:space="preserve"> Predictive Maintenance</w:t>
      </w:r>
    </w:p>
    <w:p w14:paraId="4F3C8BB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 predict whether an asset is likely to experience a fault within the next 24 hours so maintenance teams can receive an early warning.</w:t>
      </w:r>
    </w:p>
    <w:p w14:paraId="0920F997">
      <w:pPr>
        <w:pStyle w:val="4"/>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Target &amp; Feature Engineering</w:t>
      </w:r>
    </w:p>
    <w:p w14:paraId="20E9280D">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failure_next_24h = 1 when a fault occurs in the following 24 hours.</w:t>
      </w:r>
    </w:p>
    <w:p w14:paraId="08A3B024">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Current fault observations were excluded from proactive prediction and incomplete final 24-hour target windows were removed.</w:t>
      </w:r>
    </w:p>
    <w:p w14:paraId="5D6689DB">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Final modeling dataset: 256,050 observations with 5,112 positives (~2%).</w:t>
      </w:r>
    </w:p>
    <w:p w14:paraId="28465A11">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Features include current sensors, occupancy, operating mode, asset type, manufacturer, capacity, asset age, time variables, rolling 1h/6h/12h statistics, recent sensor changes and missing indicators.</w:t>
      </w:r>
    </w:p>
    <w:p w14:paraId="5BBE8E2B">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Rolling features use only previous observations to prevent future-information leakage.</w:t>
      </w:r>
    </w:p>
    <w:p w14:paraId="552A90FD">
      <w:pPr>
        <w:pStyle w:val="4"/>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Model Comparison</w:t>
      </w:r>
    </w:p>
    <w:p w14:paraId="17BCB9C2">
      <w:pPr>
        <w:spacing w:line="240" w:lineRule="auto"/>
        <w:rPr>
          <w:rFonts w:hint="default"/>
          <w:color w:val="auto"/>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66A7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AF7"/>
          </w:tcPr>
          <w:p w14:paraId="6D0D65FD">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Model</w:t>
            </w:r>
          </w:p>
        </w:tc>
        <w:tc>
          <w:tcPr>
            <w:tcW w:w="3456" w:type="dxa"/>
            <w:shd w:val="clear" w:color="auto" w:fill="D9EAF7"/>
          </w:tcPr>
          <w:p w14:paraId="7427B1FD">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Test F1</w:t>
            </w:r>
          </w:p>
        </w:tc>
        <w:tc>
          <w:tcPr>
            <w:tcW w:w="3456" w:type="dxa"/>
            <w:shd w:val="clear" w:color="auto" w:fill="D9EAF7"/>
          </w:tcPr>
          <w:p w14:paraId="0AB287B8">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Test ROC-AUC</w:t>
            </w:r>
          </w:p>
        </w:tc>
      </w:tr>
      <w:tr w14:paraId="11D23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9A71C06">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Random Forest</w:t>
            </w:r>
          </w:p>
        </w:tc>
        <w:tc>
          <w:tcPr>
            <w:tcW w:w="3456" w:type="dxa"/>
            <w:vAlign w:val="center"/>
          </w:tcPr>
          <w:p w14:paraId="4F40BDF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0.256</w:t>
            </w:r>
          </w:p>
        </w:tc>
        <w:tc>
          <w:tcPr>
            <w:tcW w:w="3456" w:type="dxa"/>
            <w:vAlign w:val="center"/>
          </w:tcPr>
          <w:p w14:paraId="5A4F313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0.655</w:t>
            </w:r>
          </w:p>
        </w:tc>
      </w:tr>
      <w:tr w14:paraId="3DD4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975D8D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XGBoost</w:t>
            </w:r>
          </w:p>
        </w:tc>
        <w:tc>
          <w:tcPr>
            <w:tcW w:w="3456" w:type="dxa"/>
            <w:vAlign w:val="center"/>
          </w:tcPr>
          <w:p w14:paraId="305C862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0.255</w:t>
            </w:r>
          </w:p>
        </w:tc>
        <w:tc>
          <w:tcPr>
            <w:tcW w:w="3456" w:type="dxa"/>
            <w:vAlign w:val="center"/>
          </w:tcPr>
          <w:p w14:paraId="7520EFC6">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0.698</w:t>
            </w:r>
          </w:p>
        </w:tc>
      </w:tr>
      <w:tr w14:paraId="4EC3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5E9641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CatBoost</w:t>
            </w:r>
          </w:p>
        </w:tc>
        <w:tc>
          <w:tcPr>
            <w:tcW w:w="3456" w:type="dxa"/>
            <w:vAlign w:val="center"/>
          </w:tcPr>
          <w:p w14:paraId="7016D2E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0.131</w:t>
            </w:r>
          </w:p>
        </w:tc>
        <w:tc>
          <w:tcPr>
            <w:tcW w:w="3456" w:type="dxa"/>
            <w:vAlign w:val="center"/>
          </w:tcPr>
          <w:p w14:paraId="1D5F7E2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0.678</w:t>
            </w:r>
          </w:p>
        </w:tc>
      </w:tr>
    </w:tbl>
    <w:p w14:paraId="46949FE0">
      <w:pPr>
        <w:pStyle w:val="4"/>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Final XGBoost Alert Configuration</w:t>
      </w:r>
    </w:p>
    <w:p w14:paraId="6A3DCAF7">
      <w:pPr>
        <w:rPr>
          <w:rFonts w:hint="default"/>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6AC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D9EAF7"/>
          </w:tcPr>
          <w:p w14:paraId="4CABC73A">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Metric</w:t>
            </w:r>
          </w:p>
        </w:tc>
        <w:tc>
          <w:tcPr>
            <w:tcW w:w="5184" w:type="dxa"/>
            <w:shd w:val="clear" w:color="auto" w:fill="D9EAF7"/>
          </w:tcPr>
          <w:p w14:paraId="0056205D">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Result</w:t>
            </w:r>
          </w:p>
        </w:tc>
      </w:tr>
      <w:tr w14:paraId="41FD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C2283D6">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Threshold</w:t>
            </w:r>
          </w:p>
        </w:tc>
        <w:tc>
          <w:tcPr>
            <w:tcW w:w="5184" w:type="dxa"/>
            <w:vAlign w:val="center"/>
          </w:tcPr>
          <w:p w14:paraId="28626480">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0.76</w:t>
            </w:r>
          </w:p>
        </w:tc>
      </w:tr>
      <w:tr w14:paraId="4EC8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FE7AA8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Precision</w:t>
            </w:r>
          </w:p>
        </w:tc>
        <w:tc>
          <w:tcPr>
            <w:tcW w:w="5184" w:type="dxa"/>
            <w:vAlign w:val="center"/>
          </w:tcPr>
          <w:p w14:paraId="481E111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0.568</w:t>
            </w:r>
          </w:p>
        </w:tc>
      </w:tr>
      <w:tr w14:paraId="6CB3B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4B2BE7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Recall</w:t>
            </w:r>
          </w:p>
        </w:tc>
        <w:tc>
          <w:tcPr>
            <w:tcW w:w="5184" w:type="dxa"/>
            <w:vAlign w:val="center"/>
          </w:tcPr>
          <w:p w14:paraId="3E2339A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0.284</w:t>
            </w:r>
          </w:p>
        </w:tc>
      </w:tr>
      <w:tr w14:paraId="343C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DD99258">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F1-score</w:t>
            </w:r>
          </w:p>
        </w:tc>
        <w:tc>
          <w:tcPr>
            <w:tcW w:w="5184" w:type="dxa"/>
            <w:vAlign w:val="center"/>
          </w:tcPr>
          <w:p w14:paraId="084D145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0.379</w:t>
            </w:r>
          </w:p>
        </w:tc>
      </w:tr>
      <w:tr w14:paraId="36DE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673DCE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ROC-AUC</w:t>
            </w:r>
          </w:p>
        </w:tc>
        <w:tc>
          <w:tcPr>
            <w:tcW w:w="5184" w:type="dxa"/>
            <w:vAlign w:val="center"/>
          </w:tcPr>
          <w:p w14:paraId="4CB6AC2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0.698</w:t>
            </w:r>
          </w:p>
        </w:tc>
      </w:tr>
      <w:tr w14:paraId="61AE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9A1D83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True-positive observations</w:t>
            </w:r>
          </w:p>
        </w:tc>
        <w:tc>
          <w:tcPr>
            <w:tcW w:w="5184" w:type="dxa"/>
            <w:vAlign w:val="center"/>
          </w:tcPr>
          <w:p w14:paraId="429655B0">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218</w:t>
            </w:r>
          </w:p>
        </w:tc>
      </w:tr>
      <w:tr w14:paraId="6FE6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3F9393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False-negative observations</w:t>
            </w:r>
          </w:p>
        </w:tc>
        <w:tc>
          <w:tcPr>
            <w:tcW w:w="5184" w:type="dxa"/>
            <w:vAlign w:val="center"/>
          </w:tcPr>
          <w:p w14:paraId="38A178B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550</w:t>
            </w:r>
          </w:p>
        </w:tc>
      </w:tr>
      <w:tr w14:paraId="5993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7580E28">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False alerts</w:t>
            </w:r>
          </w:p>
        </w:tc>
        <w:tc>
          <w:tcPr>
            <w:tcW w:w="5184" w:type="dxa"/>
            <w:vAlign w:val="center"/>
          </w:tcPr>
          <w:p w14:paraId="2B4DA07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166</w:t>
            </w:r>
          </w:p>
        </w:tc>
      </w:tr>
    </w:tbl>
    <w:p w14:paraId="56F2F6A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Recent vibration behavior was the strongest predictive signal. Important features included vibration_change_6h, vibration_mean_1h, vibration_max_1h and vibration_mean_12h; pressure-related rolling features were also important. Because 15-minute records can generate repeated positive rows for one underlying event, asset-level alert aggregation is useful.</w:t>
      </w:r>
    </w:p>
    <w:p w14:paraId="3D0D3593">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Task 3 </w:t>
      </w:r>
      <w:r>
        <w:rPr>
          <w:rFonts w:hint="default" w:ascii="Times New Roman" w:hAnsi="Times New Roman" w:cs="Times New Roman"/>
          <w:color w:val="auto"/>
          <w:sz w:val="22"/>
          <w:szCs w:val="22"/>
          <w:lang w:val="en-IN"/>
        </w:rPr>
        <w:t>-</w:t>
      </w:r>
      <w:r>
        <w:rPr>
          <w:rFonts w:hint="default" w:ascii="Times New Roman" w:hAnsi="Times New Roman" w:cs="Times New Roman"/>
          <w:color w:val="auto"/>
          <w:sz w:val="22"/>
          <w:szCs w:val="22"/>
        </w:rPr>
        <w:t xml:space="preserve"> Energy Consumption Forecasting</w:t>
      </w:r>
    </w:p>
    <w:p w14:paraId="322B82AB">
      <w:pPr>
        <w:rPr>
          <w:rFonts w:hint="default"/>
        </w:rPr>
      </w:pPr>
    </w:p>
    <w:p w14:paraId="19936F5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Building-level Energy Meter readings were used as the target. Forecasting models operate at hourly resolution, with a chronological 21-day unseen test period and an additional strict 24-hour evaluation.</w:t>
      </w:r>
    </w:p>
    <w:p w14:paraId="20A04EB1">
      <w:pPr>
        <w:spacing w:line="240" w:lineRule="auto"/>
        <w:rPr>
          <w:rFonts w:hint="default" w:ascii="Times New Roman" w:hAnsi="Times New Roman" w:cs="Times New Roman"/>
          <w:color w:val="auto"/>
          <w:sz w:val="22"/>
          <w:szCs w:val="22"/>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A45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tcPr>
          <w:p w14:paraId="4A1D832E">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Model</w:t>
            </w:r>
          </w:p>
        </w:tc>
        <w:tc>
          <w:tcPr>
            <w:tcW w:w="2592" w:type="dxa"/>
            <w:shd w:val="clear" w:color="auto" w:fill="D9EAF7"/>
          </w:tcPr>
          <w:p w14:paraId="58CD96D6">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MAE</w:t>
            </w:r>
          </w:p>
        </w:tc>
        <w:tc>
          <w:tcPr>
            <w:tcW w:w="2592" w:type="dxa"/>
            <w:shd w:val="clear" w:color="auto" w:fill="D9EAF7"/>
          </w:tcPr>
          <w:p w14:paraId="391B5DEF">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RMSE</w:t>
            </w:r>
          </w:p>
        </w:tc>
        <w:tc>
          <w:tcPr>
            <w:tcW w:w="2592" w:type="dxa"/>
            <w:shd w:val="clear" w:color="auto" w:fill="D9EAF7"/>
          </w:tcPr>
          <w:p w14:paraId="2045DC65">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MAPE</w:t>
            </w:r>
          </w:p>
        </w:tc>
      </w:tr>
      <w:tr w14:paraId="4B90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5B7AEE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XGBoost</w:t>
            </w:r>
          </w:p>
        </w:tc>
        <w:tc>
          <w:tcPr>
            <w:tcW w:w="2592" w:type="dxa"/>
            <w:vAlign w:val="center"/>
          </w:tcPr>
          <w:p w14:paraId="2E37A5C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4.570</w:t>
            </w:r>
          </w:p>
        </w:tc>
        <w:tc>
          <w:tcPr>
            <w:tcW w:w="2592" w:type="dxa"/>
            <w:vAlign w:val="center"/>
          </w:tcPr>
          <w:p w14:paraId="7EC598C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6.537</w:t>
            </w:r>
          </w:p>
        </w:tc>
        <w:tc>
          <w:tcPr>
            <w:tcW w:w="2592" w:type="dxa"/>
            <w:vAlign w:val="center"/>
          </w:tcPr>
          <w:p w14:paraId="0C32393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8.60%</w:t>
            </w:r>
          </w:p>
        </w:tc>
      </w:tr>
      <w:tr w14:paraId="5C7B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A4CD65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Prophet</w:t>
            </w:r>
          </w:p>
        </w:tc>
        <w:tc>
          <w:tcPr>
            <w:tcW w:w="2592" w:type="dxa"/>
            <w:vAlign w:val="center"/>
          </w:tcPr>
          <w:p w14:paraId="50D1C2B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11.804</w:t>
            </w:r>
          </w:p>
        </w:tc>
        <w:tc>
          <w:tcPr>
            <w:tcW w:w="2592" w:type="dxa"/>
            <w:vAlign w:val="center"/>
          </w:tcPr>
          <w:p w14:paraId="34B3196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15.638</w:t>
            </w:r>
          </w:p>
        </w:tc>
        <w:tc>
          <w:tcPr>
            <w:tcW w:w="2592" w:type="dxa"/>
            <w:vAlign w:val="center"/>
          </w:tcPr>
          <w:p w14:paraId="2365F2D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22.26%</w:t>
            </w:r>
          </w:p>
        </w:tc>
      </w:tr>
      <w:tr w14:paraId="23B5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0D8CA0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SARIMA</w:t>
            </w:r>
          </w:p>
        </w:tc>
        <w:tc>
          <w:tcPr>
            <w:tcW w:w="2592" w:type="dxa"/>
            <w:vAlign w:val="center"/>
          </w:tcPr>
          <w:p w14:paraId="0FF6F8F6">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12.054</w:t>
            </w:r>
          </w:p>
        </w:tc>
        <w:tc>
          <w:tcPr>
            <w:tcW w:w="2592" w:type="dxa"/>
            <w:vAlign w:val="center"/>
          </w:tcPr>
          <w:p w14:paraId="1103D59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17.567</w:t>
            </w:r>
          </w:p>
        </w:tc>
        <w:tc>
          <w:tcPr>
            <w:tcW w:w="2592" w:type="dxa"/>
            <w:vAlign w:val="center"/>
          </w:tcPr>
          <w:p w14:paraId="7E8947F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20.43%</w:t>
            </w:r>
          </w:p>
        </w:tc>
      </w:tr>
      <w:tr w14:paraId="22C2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27F0A3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LSTM</w:t>
            </w:r>
          </w:p>
        </w:tc>
        <w:tc>
          <w:tcPr>
            <w:tcW w:w="2592" w:type="dxa"/>
            <w:vAlign w:val="center"/>
          </w:tcPr>
          <w:p w14:paraId="6478C9A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25.733</w:t>
            </w:r>
          </w:p>
        </w:tc>
        <w:tc>
          <w:tcPr>
            <w:tcW w:w="2592" w:type="dxa"/>
            <w:vAlign w:val="center"/>
          </w:tcPr>
          <w:p w14:paraId="6C28533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31.163</w:t>
            </w:r>
          </w:p>
        </w:tc>
        <w:tc>
          <w:tcPr>
            <w:tcW w:w="2592" w:type="dxa"/>
            <w:vAlign w:val="center"/>
          </w:tcPr>
          <w:p w14:paraId="11E88A70">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42.17%</w:t>
            </w:r>
          </w:p>
        </w:tc>
      </w:tr>
    </w:tbl>
    <w:p w14:paraId="5C99BA4B">
      <w:pPr>
        <w:pStyle w:val="4"/>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Strict 24-Hour Evaluation</w:t>
      </w:r>
    </w:p>
    <w:p w14:paraId="34B85F1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For the forecast window 11 Mar 2026 00:00–23:00, the recursive XGBoost model produced MAE = 3.172, RMSE = 3.904 and MAPE = 28.61%. This is a single forecast origin and should be treated as a strict requirement check, not a comprehensive estimate of 24-hour performance.</w:t>
      </w:r>
    </w:p>
    <w:p w14:paraId="320DCE78">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XGBoost uses hourly/day/weekend/cyclic features, 1h/6h/24h/7-day lags and rolling 6h/24h statistics. Recursive prediction feeds each forecast back into history so actual future test values are not used as future lags.</w:t>
      </w:r>
      <w:r>
        <w:rPr>
          <w:rFonts w:hint="default" w:ascii="Times New Roman" w:hAnsi="Times New Roman" w:cs="Times New Roman"/>
          <w:b/>
          <w:color w:val="auto"/>
          <w:sz w:val="22"/>
          <w:szCs w:val="22"/>
        </w:rPr>
        <w:t>PAGE 4 OF 5</w:t>
      </w:r>
    </w:p>
    <w:p w14:paraId="69D850EB">
      <w:pPr>
        <w:pStyle w:val="2"/>
        <w:spacing w:after="60"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Task 4 </w:t>
      </w:r>
      <w:r>
        <w:rPr>
          <w:rFonts w:hint="default" w:ascii="Times New Roman" w:hAnsi="Times New Roman" w:cs="Times New Roman"/>
          <w:color w:val="auto"/>
          <w:sz w:val="22"/>
          <w:szCs w:val="22"/>
          <w:lang w:val="en-IN"/>
        </w:rPr>
        <w:t xml:space="preserve">- </w:t>
      </w:r>
      <w:r>
        <w:rPr>
          <w:rFonts w:hint="default" w:ascii="Times New Roman" w:hAnsi="Times New Roman" w:cs="Times New Roman"/>
          <w:color w:val="auto"/>
          <w:sz w:val="22"/>
          <w:szCs w:val="22"/>
        </w:rPr>
        <w:t>Hybrid Anomaly Detection</w:t>
      </w:r>
    </w:p>
    <w:p w14:paraId="55D607BB">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w:t>
      </w:r>
    </w:p>
    <w:p w14:paraId="491868A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Identify abnormal equipment behavior such as sudden power spikes, excessive vibration, abnormal temperature patterns, behavior changes and degradation.</w:t>
      </w:r>
    </w:p>
    <w:p w14:paraId="76068593">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Detection Framework</w:t>
      </w:r>
    </w:p>
    <w:p w14:paraId="6FEDF4B7">
      <w:pPr>
        <w:rPr>
          <w:rFonts w:hint="default"/>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gridCol w:w="7375"/>
      </w:tblGrid>
      <w:tr w14:paraId="621A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3" w:type="dxa"/>
            <w:shd w:val="clear" w:color="auto" w:fill="D9EAF7"/>
          </w:tcPr>
          <w:p w14:paraId="65674C35">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Method</w:t>
            </w:r>
          </w:p>
        </w:tc>
        <w:tc>
          <w:tcPr>
            <w:tcW w:w="7375" w:type="dxa"/>
            <w:shd w:val="clear" w:color="auto" w:fill="D9EAF7"/>
          </w:tcPr>
          <w:p w14:paraId="0E5C816D">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Purpose</w:t>
            </w:r>
          </w:p>
        </w:tc>
      </w:tr>
      <w:tr w14:paraId="17C0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3" w:type="dxa"/>
            <w:vAlign w:val="center"/>
          </w:tcPr>
          <w:p w14:paraId="753624C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Statistical thresholding</w:t>
            </w:r>
          </w:p>
        </w:tc>
        <w:tc>
          <w:tcPr>
            <w:tcW w:w="7375" w:type="dxa"/>
            <w:vAlign w:val="center"/>
          </w:tcPr>
          <w:p w14:paraId="2DF98BB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Asset-level IQR rule for interpretable sensor outliers</w:t>
            </w:r>
          </w:p>
        </w:tc>
      </w:tr>
      <w:tr w14:paraId="5ED3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3" w:type="dxa"/>
            <w:vAlign w:val="center"/>
          </w:tcPr>
          <w:p w14:paraId="3D92E6E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Isolation Forest</w:t>
            </w:r>
          </w:p>
        </w:tc>
        <w:tc>
          <w:tcPr>
            <w:tcW w:w="7375" w:type="dxa"/>
            <w:vAlign w:val="center"/>
          </w:tcPr>
          <w:p w14:paraId="10EFDD2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Detect multivariate observations that differ from normal behavior</w:t>
            </w:r>
          </w:p>
        </w:tc>
      </w:tr>
      <w:tr w14:paraId="1288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3" w:type="dxa"/>
            <w:vAlign w:val="center"/>
          </w:tcPr>
          <w:p w14:paraId="7A539B5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Autoencoder</w:t>
            </w:r>
          </w:p>
        </w:tc>
        <w:tc>
          <w:tcPr>
            <w:tcW w:w="7375" w:type="dxa"/>
            <w:vAlign w:val="center"/>
          </w:tcPr>
          <w:p w14:paraId="73F6D58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 reconstruction error for unusual multivariate sensor combinations</w:t>
            </w:r>
          </w:p>
        </w:tc>
      </w:tr>
      <w:tr w14:paraId="41D2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3" w:type="dxa"/>
            <w:vAlign w:val="center"/>
          </w:tcPr>
          <w:p w14:paraId="7A7C397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DBSCAN</w:t>
            </w:r>
          </w:p>
        </w:tc>
        <w:tc>
          <w:tcPr>
            <w:tcW w:w="7375" w:type="dxa"/>
            <w:vAlign w:val="center"/>
          </w:tcPr>
          <w:p w14:paraId="5FF325D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Identify isolated operating patterns on a representative sample</w:t>
            </w:r>
          </w:p>
        </w:tc>
      </w:tr>
      <w:tr w14:paraId="1E8C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3" w:type="dxa"/>
            <w:vAlign w:val="center"/>
          </w:tcPr>
          <w:p w14:paraId="4F652A6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Behavior-change signal</w:t>
            </w:r>
          </w:p>
        </w:tc>
        <w:tc>
          <w:tcPr>
            <w:tcW w:w="7375" w:type="dxa"/>
            <w:vAlign w:val="center"/>
          </w:tcPr>
          <w:p w14:paraId="1DCE80B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Compare short-term behavior with a 24-hour rolling baseline</w:t>
            </w:r>
          </w:p>
        </w:tc>
      </w:tr>
      <w:tr w14:paraId="2A5D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3" w:type="dxa"/>
            <w:vAlign w:val="center"/>
          </w:tcPr>
          <w:p w14:paraId="16D62CC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Hybrid score</w:t>
            </w:r>
          </w:p>
        </w:tc>
        <w:tc>
          <w:tcPr>
            <w:tcW w:w="7375" w:type="dxa"/>
            <w:vAlign w:val="center"/>
          </w:tcPr>
          <w:p w14:paraId="6EC1D58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Combine five signals into evidence score 0–5 and severity category</w:t>
            </w:r>
          </w:p>
        </w:tc>
      </w:tr>
    </w:tbl>
    <w:p w14:paraId="70243BC4">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Detection Results</w:t>
      </w:r>
    </w:p>
    <w:p w14:paraId="2EC69A42">
      <w:pPr>
        <w:rPr>
          <w:rFonts w:hint="default"/>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8CF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D9EAF7"/>
          </w:tcPr>
          <w:p w14:paraId="205BBCC1">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Stage</w:t>
            </w:r>
          </w:p>
        </w:tc>
        <w:tc>
          <w:tcPr>
            <w:tcW w:w="5184" w:type="dxa"/>
            <w:shd w:val="clear" w:color="auto" w:fill="D9EAF7"/>
          </w:tcPr>
          <w:p w14:paraId="5797877E">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Anomaly Observations</w:t>
            </w:r>
          </w:p>
        </w:tc>
      </w:tr>
      <w:tr w14:paraId="71816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6D3B338">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Statistical thresholding</w:t>
            </w:r>
          </w:p>
        </w:tc>
        <w:tc>
          <w:tcPr>
            <w:tcW w:w="5184" w:type="dxa"/>
            <w:vAlign w:val="center"/>
          </w:tcPr>
          <w:p w14:paraId="54CF8C3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6,007</w:t>
            </w:r>
          </w:p>
        </w:tc>
      </w:tr>
      <w:tr w14:paraId="7DD8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F0580A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Isolation Forest</w:t>
            </w:r>
          </w:p>
        </w:tc>
        <w:tc>
          <w:tcPr>
            <w:tcW w:w="5184" w:type="dxa"/>
            <w:vAlign w:val="center"/>
          </w:tcPr>
          <w:p w14:paraId="61B7874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2,592</w:t>
            </w:r>
          </w:p>
        </w:tc>
      </w:tr>
      <w:tr w14:paraId="335A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13D2B5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Autoencoder</w:t>
            </w:r>
          </w:p>
        </w:tc>
        <w:tc>
          <w:tcPr>
            <w:tcW w:w="5184" w:type="dxa"/>
            <w:vAlign w:val="center"/>
          </w:tcPr>
          <w:p w14:paraId="4A92B23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4,091</w:t>
            </w:r>
          </w:p>
        </w:tc>
      </w:tr>
      <w:tr w14:paraId="4D85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246EA2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DBSCAN</w:t>
            </w:r>
          </w:p>
        </w:tc>
        <w:tc>
          <w:tcPr>
            <w:tcW w:w="5184" w:type="dxa"/>
            <w:vAlign w:val="center"/>
          </w:tcPr>
          <w:p w14:paraId="7CDAD10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150 sampled outliers</w:t>
            </w:r>
          </w:p>
        </w:tc>
      </w:tr>
      <w:tr w14:paraId="5E39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0834E1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Behavior-change signal</w:t>
            </w:r>
          </w:p>
        </w:tc>
        <w:tc>
          <w:tcPr>
            <w:tcW w:w="5184" w:type="dxa"/>
            <w:vAlign w:val="center"/>
          </w:tcPr>
          <w:p w14:paraId="229530F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395</w:t>
            </w:r>
          </w:p>
        </w:tc>
      </w:tr>
      <w:tr w14:paraId="448E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D4925F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Final criterion (score ≥ 2)</w:t>
            </w:r>
          </w:p>
        </w:tc>
        <w:tc>
          <w:tcPr>
            <w:tcW w:w="5184" w:type="dxa"/>
            <w:vAlign w:val="center"/>
          </w:tcPr>
          <w:p w14:paraId="0E15A3E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2,046</w:t>
            </w:r>
          </w:p>
        </w:tc>
      </w:tr>
    </w:tbl>
    <w:p w14:paraId="3653E53E">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Final Severity Distribution</w:t>
      </w:r>
    </w:p>
    <w:p w14:paraId="154F216A">
      <w:pPr>
        <w:rPr>
          <w:rFonts w:hint="default"/>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7279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D9EAF7"/>
          </w:tcPr>
          <w:p w14:paraId="49C0CF7C">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Severity</w:t>
            </w:r>
          </w:p>
        </w:tc>
        <w:tc>
          <w:tcPr>
            <w:tcW w:w="5184" w:type="dxa"/>
            <w:shd w:val="clear" w:color="auto" w:fill="D9EAF7"/>
          </w:tcPr>
          <w:p w14:paraId="72FA4816">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Observations</w:t>
            </w:r>
          </w:p>
        </w:tc>
      </w:tr>
      <w:tr w14:paraId="0270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8B4AA7D">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Normal</w:t>
            </w:r>
          </w:p>
        </w:tc>
        <w:tc>
          <w:tcPr>
            <w:tcW w:w="5184" w:type="dxa"/>
            <w:vAlign w:val="center"/>
          </w:tcPr>
          <w:p w14:paraId="2393C4A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257,154</w:t>
            </w:r>
          </w:p>
        </w:tc>
      </w:tr>
      <w:tr w14:paraId="033E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0569B66">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Watch</w:t>
            </w:r>
          </w:p>
        </w:tc>
        <w:tc>
          <w:tcPr>
            <w:tcW w:w="5184" w:type="dxa"/>
            <w:vAlign w:val="center"/>
          </w:tcPr>
          <w:p w14:paraId="34EA21F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1,214</w:t>
            </w:r>
          </w:p>
        </w:tc>
      </w:tr>
      <w:tr w14:paraId="4A52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46EB7F0">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Anomaly</w:t>
            </w:r>
          </w:p>
        </w:tc>
        <w:tc>
          <w:tcPr>
            <w:tcW w:w="5184" w:type="dxa"/>
            <w:vAlign w:val="center"/>
          </w:tcPr>
          <w:p w14:paraId="3CE2479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715</w:t>
            </w:r>
          </w:p>
        </w:tc>
      </w:tr>
      <w:tr w14:paraId="3645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44C4F33">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Critical</w:t>
            </w:r>
          </w:p>
        </w:tc>
        <w:tc>
          <w:tcPr>
            <w:tcW w:w="5184" w:type="dxa"/>
            <w:vAlign w:val="center"/>
          </w:tcPr>
          <w:p w14:paraId="60C2AD60">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117</w:t>
            </w:r>
          </w:p>
        </w:tc>
      </w:tr>
    </w:tbl>
    <w:p w14:paraId="723B900D">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Key Findings</w:t>
      </w:r>
    </w:p>
    <w:p w14:paraId="767FD933">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Critical observations were concentrated around equipment showing unusual vibration and/or multivariate behavior.</w:t>
      </w:r>
    </w:p>
    <w:p w14:paraId="4A723DCD">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Pumps produced 55 critical observations, compared with 33 for chillers, 22 for energy meters and 7 for AHUs.</w:t>
      </w:r>
    </w:p>
    <w:p w14:paraId="194B7524">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ASSET_024 (Pump) had 161 anomaly observations and 15 critical observations in the generated results.</w:t>
      </w:r>
    </w:p>
    <w:p w14:paraId="6221BAC6">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framework provides sensor-level evidence and asset-level summaries, making repeated operational issues easier to investigate.</w:t>
      </w:r>
    </w:p>
    <w:p w14:paraId="68F267A8">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Operational Recommendations</w:t>
      </w:r>
    </w:p>
    <w:p w14:paraId="0ED6C8C8">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Investigate repeated high-vibration alerts on pumps and chillers for mechanical inspection and preventive maintenance.</w:t>
      </w:r>
    </w:p>
    <w:p w14:paraId="4DADA958">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Check persistent power deviations against operating mode and occupancy before taking corrective action.</w:t>
      </w:r>
    </w:p>
    <w:p w14:paraId="6C23281F">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 behavior-change alerts to investigate sensor calibration issues or gradual equipment degradation.</w:t>
      </w:r>
    </w:p>
    <w:p w14:paraId="42BE6FBA">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Limitations</w:t>
      </w:r>
    </w:p>
    <w:p w14:paraId="43801B49">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results are a synthetic proof-of-concept.</w:t>
      </w:r>
    </w:p>
    <w:p w14:paraId="2C6E6633">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DBSCAN uses a representative 30,000-row sample and is therefore not exhaustive.</w:t>
      </w:r>
    </w:p>
    <w:p w14:paraId="1851DD4E">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behavior-change method is a rolling-baseline proxy rather than a formal statistical change-point algorithm.</w:t>
      </w:r>
    </w:p>
    <w:p w14:paraId="2D435F0A">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Primary anomaly reasons should be interpreted in an asset-aware manner.</w:t>
      </w:r>
    </w:p>
    <w:p w14:paraId="672E71FB">
      <w:pPr>
        <w:pStyle w:val="2"/>
        <w:spacing w:after="60"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Task 5 </w:t>
      </w:r>
      <w:r>
        <w:rPr>
          <w:rFonts w:hint="default" w:ascii="Times New Roman" w:hAnsi="Times New Roman" w:cs="Times New Roman"/>
          <w:color w:val="auto"/>
          <w:sz w:val="22"/>
          <w:szCs w:val="22"/>
          <w:lang w:val="en-IN"/>
        </w:rPr>
        <w:t>-</w:t>
      </w:r>
      <w:r>
        <w:rPr>
          <w:rFonts w:hint="default" w:ascii="Times New Roman" w:hAnsi="Times New Roman" w:cs="Times New Roman"/>
          <w:color w:val="auto"/>
          <w:sz w:val="22"/>
          <w:szCs w:val="22"/>
        </w:rPr>
        <w:t xml:space="preserve"> Multi-Asset Connectivity &amp; Final Application</w:t>
      </w:r>
    </w:p>
    <w:p w14:paraId="5C14724D">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 &amp; Data</w:t>
      </w:r>
    </w:p>
    <w:p w14:paraId="595E7F88">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Analyze how assets are related, identify dependencies and isolated assets, trace potential downstream impact from failures, and assess connectivity data quality. The analysis uses 30 assets and 36 directed connectivity relationships. Because the supplied metadata has no floor_id, the implemented hierarchy is Site → Building → Asset / Parent Asset.</w:t>
      </w:r>
    </w:p>
    <w:p w14:paraId="6D6451FA">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Connectivity Methodology</w:t>
      </w:r>
    </w:p>
    <w:p w14:paraId="3433EBB4">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Validated duplicate asset IDs, duplicate relationships, self-connections, invalid source/target IDs and parent mappings.</w:t>
      </w:r>
    </w:p>
    <w:p w14:paraId="7971AF86">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Built a parent-child hierarchy from parent_asset_id and a separate directed operational graph from source_asset_id → target_asset_id.</w:t>
      </w:r>
    </w:p>
    <w:p w14:paraId="1320013C">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Calculated in-degree, out-degree, downstream reach, weighted outgoing connectivity and betweenness centrality.</w:t>
      </w:r>
    </w:p>
    <w:p w14:paraId="43826720">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Used graph traversal to identify direct and indirect downstream assets for chiller and pump failure scenarios.</w:t>
      </w:r>
    </w:p>
    <w:p w14:paraId="206E814F">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Generated hierarchy, connectivity-network and failure-propagation visualizations.</w:t>
      </w:r>
    </w:p>
    <w:p w14:paraId="2C118A46">
      <w:pPr>
        <w:pStyle w:val="23"/>
        <w:numPr>
          <w:numId w:val="0"/>
        </w:numPr>
        <w:spacing w:after="40" w:line="240" w:lineRule="auto"/>
        <w:ind w:left="-101" w:leftChars="0"/>
        <w:rPr>
          <w:rFonts w:hint="default" w:ascii="Times New Roman" w:hAnsi="Times New Roman" w:cs="Times New Roman"/>
          <w:color w:val="auto"/>
          <w:sz w:val="22"/>
          <w:szCs w:val="22"/>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3665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D9EAF7"/>
          </w:tcPr>
          <w:p w14:paraId="3F606EB8">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Connectivity / Data Quality Measure</w:t>
            </w:r>
          </w:p>
        </w:tc>
        <w:tc>
          <w:tcPr>
            <w:tcW w:w="5184" w:type="dxa"/>
            <w:shd w:val="clear" w:color="auto" w:fill="D9EAF7"/>
          </w:tcPr>
          <w:p w14:paraId="74C473CA">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Result</w:t>
            </w:r>
          </w:p>
        </w:tc>
      </w:tr>
      <w:tr w14:paraId="1AB4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9EFEAF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Total assets</w:t>
            </w:r>
          </w:p>
        </w:tc>
        <w:tc>
          <w:tcPr>
            <w:tcW w:w="5184" w:type="dxa"/>
            <w:vAlign w:val="center"/>
          </w:tcPr>
          <w:p w14:paraId="4C35207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30</w:t>
            </w:r>
          </w:p>
        </w:tc>
      </w:tr>
      <w:tr w14:paraId="568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B6EB67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Connectivity relationships</w:t>
            </w:r>
          </w:p>
        </w:tc>
        <w:tc>
          <w:tcPr>
            <w:tcW w:w="5184" w:type="dxa"/>
            <w:vAlign w:val="center"/>
          </w:tcPr>
          <w:p w14:paraId="7E7515C0">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36</w:t>
            </w:r>
          </w:p>
        </w:tc>
      </w:tr>
      <w:tr w14:paraId="1851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DA482B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Graph-isolated assets</w:t>
            </w:r>
          </w:p>
        </w:tc>
        <w:tc>
          <w:tcPr>
            <w:tcW w:w="5184" w:type="dxa"/>
            <w:vAlign w:val="center"/>
          </w:tcPr>
          <w:p w14:paraId="2FC3117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w:t>
            </w:r>
          </w:p>
        </w:tc>
      </w:tr>
      <w:tr w14:paraId="470D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3B2D48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Invalid source/target relationships</w:t>
            </w:r>
          </w:p>
        </w:tc>
        <w:tc>
          <w:tcPr>
            <w:tcW w:w="5184" w:type="dxa"/>
            <w:vAlign w:val="center"/>
          </w:tcPr>
          <w:p w14:paraId="4A3C33D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w:t>
            </w:r>
          </w:p>
        </w:tc>
      </w:tr>
      <w:tr w14:paraId="6833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41554A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Duplicate relationships</w:t>
            </w:r>
          </w:p>
        </w:tc>
        <w:tc>
          <w:tcPr>
            <w:tcW w:w="5184" w:type="dxa"/>
            <w:vAlign w:val="center"/>
          </w:tcPr>
          <w:p w14:paraId="0729838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w:t>
            </w:r>
          </w:p>
        </w:tc>
      </w:tr>
      <w:tr w14:paraId="5AE7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BCB44AA">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Self-connections</w:t>
            </w:r>
          </w:p>
        </w:tc>
        <w:tc>
          <w:tcPr>
            <w:tcW w:w="5184" w:type="dxa"/>
            <w:vAlign w:val="center"/>
          </w:tcPr>
          <w:p w14:paraId="66BB75C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w:t>
            </w:r>
          </w:p>
        </w:tc>
      </w:tr>
      <w:tr w14:paraId="1C96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93E4D5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Invalid parent mappings</w:t>
            </w:r>
          </w:p>
        </w:tc>
        <w:tc>
          <w:tcPr>
            <w:tcW w:w="5184" w:type="dxa"/>
            <w:vAlign w:val="center"/>
          </w:tcPr>
          <w:p w14:paraId="36DC6F00">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0</w:t>
            </w:r>
          </w:p>
        </w:tc>
      </w:tr>
      <w:tr w14:paraId="0A94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AB7DE1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Maximum downstream reach</w:t>
            </w:r>
          </w:p>
        </w:tc>
        <w:tc>
          <w:tcPr>
            <w:tcW w:w="5184" w:type="dxa"/>
            <w:vAlign w:val="center"/>
          </w:tcPr>
          <w:p w14:paraId="11F7D94C">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assets</w:t>
            </w:r>
          </w:p>
        </w:tc>
      </w:tr>
    </w:tbl>
    <w:p w14:paraId="292BBC96">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Failure Impact &amp; Criticality</w:t>
      </w:r>
    </w:p>
    <w:p w14:paraId="10FFDFCF">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selected chiller failure is traced through the directed downstream graph to identify potentially affected connected assets, particularly AHUs.</w:t>
      </w:r>
    </w:p>
    <w:p w14:paraId="5F6BACD5">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selected pump failure is traced through pump → chiller → AHU dependency paths to report direct and indirect potential impact.</w:t>
      </w:r>
    </w:p>
    <w:p w14:paraId="07C64C5D">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Downstream count, weighted outgoing connectivity and betweenness centrality are structural criticality indicators, not proof of physical failure.</w:t>
      </w:r>
    </w:p>
    <w:p w14:paraId="6499B5D5">
      <w:pPr>
        <w:pStyle w:val="23"/>
        <w:spacing w:after="40" w:line="240" w:lineRule="auto"/>
        <w:ind w:left="259"/>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Parent-asset hierarchy should not automatically be treated as operational dependency.</w:t>
      </w:r>
    </w:p>
    <w:p w14:paraId="549BE406">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Final Application Architecture</w:t>
      </w:r>
    </w:p>
    <w:p w14:paraId="29CB7B25">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final application follows a reproducible artifact-driven architecture: notebooks perform analysis/training, saved models/results/graphs are stored under outputs, service modules provide inference and graph access, Flask exposes REST/GraphQL APIs, and Streamlit provides the interactive dashboard. No database is required for this proof-of-concept.</w:t>
      </w:r>
    </w:p>
    <w:p w14:paraId="3B3B1847">
      <w:pPr>
        <w:spacing w:line="240" w:lineRule="auto"/>
        <w:rPr>
          <w:rFonts w:hint="default" w:ascii="Times New Roman" w:hAnsi="Times New Roman" w:cs="Times New Roman"/>
          <w:color w:val="auto"/>
          <w:sz w:val="22"/>
          <w:szCs w:val="22"/>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4"/>
        <w:gridCol w:w="7854"/>
      </w:tblGrid>
      <w:tr w14:paraId="5876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shd w:val="clear" w:color="auto" w:fill="D9EAF7"/>
          </w:tcPr>
          <w:p w14:paraId="6D918EF2">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Component</w:t>
            </w:r>
          </w:p>
        </w:tc>
        <w:tc>
          <w:tcPr>
            <w:tcW w:w="7854" w:type="dxa"/>
            <w:shd w:val="clear" w:color="auto" w:fill="D9EAF7"/>
          </w:tcPr>
          <w:p w14:paraId="1DAACF46">
            <w:pPr>
              <w:spacing w:line="240" w:lineRule="auto"/>
              <w:rPr>
                <w:rFonts w:hint="default" w:ascii="Times New Roman" w:hAnsi="Times New Roman" w:cs="Times New Roman"/>
                <w:color w:val="auto"/>
                <w:sz w:val="22"/>
                <w:szCs w:val="22"/>
              </w:rPr>
            </w:pPr>
            <w:r>
              <w:rPr>
                <w:rFonts w:hint="default" w:ascii="Times New Roman" w:hAnsi="Times New Roman" w:cs="Times New Roman"/>
                <w:b/>
                <w:color w:val="auto"/>
                <w:sz w:val="22"/>
                <w:szCs w:val="22"/>
              </w:rPr>
              <w:t>Role</w:t>
            </w:r>
          </w:p>
        </w:tc>
      </w:tr>
      <w:tr w14:paraId="4ECD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7987CD3E">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Jupyter notebooks</w:t>
            </w:r>
          </w:p>
        </w:tc>
        <w:tc>
          <w:tcPr>
            <w:tcW w:w="7854" w:type="dxa"/>
            <w:vAlign w:val="center"/>
          </w:tcPr>
          <w:p w14:paraId="1378B888">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EDA, model training, forecasting, anomaly detection and connectivity analysis</w:t>
            </w:r>
          </w:p>
        </w:tc>
      </w:tr>
      <w:tr w14:paraId="3E2B3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352A6F1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outputs/</w:t>
            </w:r>
          </w:p>
        </w:tc>
        <w:tc>
          <w:tcPr>
            <w:tcW w:w="7854" w:type="dxa"/>
            <w:vAlign w:val="center"/>
          </w:tcPr>
          <w:p w14:paraId="6A9C93D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Saved models, predictions, tables and notebook-generated graphs</w:t>
            </w:r>
          </w:p>
        </w:tc>
      </w:tr>
      <w:tr w14:paraId="5FD0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6B7C8E47">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src/</w:t>
            </w:r>
          </w:p>
        </w:tc>
        <w:tc>
          <w:tcPr>
            <w:tcW w:w="7854" w:type="dxa"/>
            <w:vAlign w:val="center"/>
          </w:tcPr>
          <w:p w14:paraId="26B18AF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Data loading, inference and graph services</w:t>
            </w:r>
          </w:p>
        </w:tc>
      </w:tr>
      <w:tr w14:paraId="742A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3ED204C2">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Flask</w:t>
            </w:r>
          </w:p>
        </w:tc>
        <w:tc>
          <w:tcPr>
            <w:tcW w:w="7854" w:type="dxa"/>
            <w:vAlign w:val="center"/>
          </w:tcPr>
          <w:p w14:paraId="5973DE9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REST API and application backend</w:t>
            </w:r>
          </w:p>
        </w:tc>
      </w:tr>
      <w:tr w14:paraId="0B2E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38792DEB">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GraphQL</w:t>
            </w:r>
          </w:p>
        </w:tc>
        <w:tc>
          <w:tcPr>
            <w:tcW w:w="7854" w:type="dxa"/>
            <w:vAlign w:val="center"/>
          </w:tcPr>
          <w:p w14:paraId="6A975E69">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Bonus connectivity query interface</w:t>
            </w:r>
          </w:p>
        </w:tc>
      </w:tr>
      <w:tr w14:paraId="0896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454CE824">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Streamlit</w:t>
            </w:r>
          </w:p>
        </w:tc>
        <w:tc>
          <w:tcPr>
            <w:tcW w:w="7854" w:type="dxa"/>
            <w:vAlign w:val="center"/>
          </w:tcPr>
          <w:p w14:paraId="6975C10F">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Interactive dashboard for all five tasks</w:t>
            </w:r>
          </w:p>
        </w:tc>
      </w:tr>
    </w:tbl>
    <w:p w14:paraId="0E2D1996">
      <w:pPr>
        <w:pStyle w:val="3"/>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Final Conclusion</w:t>
      </w:r>
    </w:p>
    <w:p w14:paraId="33CF4AB1">
      <w:pPr>
        <w:spacing w:line="24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project demonstrates a complete facility-analytics workflow from raw IoT telemetry to actionable operational intelligence. The strongest demonstrated outputs are the vibration-driven predictive-maintenance signals, recursive XGBoost energy forecasting, multi-method anomaly evidence, and dependency-aware connectivity analysis. The implementation is suitable as a synthetic proof-of-concept; production deployment would require real maintenance outcomes, real building telemetry, richer hierarchy information, connection-type-aware failure propagation and ongoing model/data-quality monitoring.</w:t>
      </w:r>
    </w:p>
    <w:sectPr>
      <w:footerReference r:id="rId5"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9CF3A">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CD4054"/>
    <w:rsid w:val="29396C32"/>
    <w:rsid w:val="2F986D38"/>
    <w:rsid w:val="4C5859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0"/>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1574</Words>
  <Characters>10705</Characters>
  <Lines>0</Lines>
  <Paragraphs>0</Paragraphs>
  <TotalTime>3</TotalTime>
  <ScaleCrop>false</ScaleCrop>
  <LinksUpToDate>false</LinksUpToDate>
  <CharactersWithSpaces>12025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32 Priyadarshini B</cp:lastModifiedBy>
  <dcterms:modified xsi:type="dcterms:W3CDTF">2026-09-24T01:52:11Z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eyJoZGlkIjoiNjI4MzBmYTNjOGJhZGRhNzBhMTFjNTQ1MjJmZmRlZDYiLCJ1c2VySWQiOiI1NjczNzYzMDAyNzIifQ==</vt:lpwstr>
  </property>
  <property fmtid="{D5CDD505-2E9C-101B-9397-08002B2CF9AE}" pid="3" name="KSOProductBuildVer">
    <vt:lpwstr>1033-12.1.0.28485</vt:lpwstr>
  </property>
  <property fmtid="{D5CDD505-2E9C-101B-9397-08002B2CF9AE}" pid="4" name="ICV">
    <vt:lpwstr>8C939A53C21840C995B97C9DDBCB429B_12</vt:lpwstr>
  </property>
</Properties>
</file>