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16se w16cid w16 w16cex w16sdtdh w16sdtfl w16du wp14">
  <w:body>
    <w:p>
      <w:pPr>
        <w:spacing w:after="120"/>
        <w:jc w:val="center"/>
      </w:pPr>
      <w:r>
        <w:rPr>
          <w:b/>
          <w:sz w:val="30"/>
        </w:rPr>
        <w:t xml:space="preserve">AI-DRIVEN ADMISSION MARKETING DECISION INTELLIGENCE PLATFORM</w:t>
      </w:r>
    </w:p>
    <w:p>
      <w:pPr>
        <w:spacing w:after="220"/>
        <w:jc w:val="center"/>
      </w:pPr>
      <w:r>
        <w:rPr>
          <w:sz w:val="24"/>
        </w:rPr>
        <w:t xml:space="preserve">Project Paper Preparation Draft</w:t>
      </w:r>
    </w:p>
    <w:p>
      <w:pPr>
        <w:spacing w:before="60" w:after="60"/>
        <w:jc w:val="center"/>
      </w:pPr>
      <w:r>
        <w:rPr>
          <w:b/>
        </w:rPr>
        <w:t xml:space="preserve">Author(s): [Insert names]   |   Institution: [Insert institution]   |   Email: [Insert corresponding author]</w:t>
      </w:r>
    </w:p>
    <w:p>
      <w:pPr>
        <w:spacing w:before="60" w:after="60"/>
        <w:jc w:val="center"/>
      </w:pPr>
      <w:r>
        <w:rPr>
          <w:b/>
        </w:rPr>
        <w:t xml:space="preserve">Draft prepared using the MindSafe paper as a layout reference. Replace bracketed items and verify references before submission.</w:t>
      </w:r>
    </w:p>
    <w:p>
      <w:pPr>
        <w:spacing w:after="100"/>
        <w:ind w:firstLine="200"/>
        <w:jc w:val="both"/>
      </w:pPr>
      <w:r>
        <w:rPr/>
        <w:t xml:space="preserve">Abstract  Decision-Intel is a web-based admission marketing decision-support platform that combines lead-conversion prediction, feature attribution, descriptive lead segmentation, channel analytics, and budget scenario analysis. The conversion component uses the Leads X Education dataset (9,240 records; target: Converted) and an XGBoost classifier. On a stratified 20% held-out split, repository results report 0.9318 accuracy, 0.9120 F1-score, and 0.9792 ROC-AUC. The application uses a SvelteKit frontend and FastAPI backend, with persistent records for leads, predictions, datasets, analytics, and simulations. SHAP explanations support inspection of individual model outputs. Budget scenarios use historical channel efficiency as an illustrative constant-efficiency assumption; they are not results from a trained reinforcement-learning optimizer. A separate student academic-outcome experiment in the repository is reported independently and is not mixed with conversion results. The platform is intended to support staff analysis rather than make admissions decisions autonomously. External and prospective validation is needed to assess generalizability.</w:t>
      </w:r>
    </w:p>
    <w:p>
      <w:pPr>
        <w:spacing w:after="100"/>
        <w:ind w:firstLine="200"/>
        <w:jc w:val="both"/>
      </w:pPr>
      <w:r>
        <w:rPr/>
        <w:t xml:space="preserve">Keywords? Admission marketing, lead conversion, XGBoost, explainable AI, SHAP, student recruitment, decision support, budget scenario analysis.</w:t>
      </w:r>
    </w:p>
    <w:p>
      <w:pPr>
        <w:spacing w:before="240" w:after="120"/>
        <w:jc w:val="center"/>
      </w:pPr>
      <w:r>
        <w:rPr>
          <w:b/>
          <w:sz w:val="21"/>
        </w:rPr>
        <w:t xml:space="preserve">I. INTRODUCTION</w:t>
      </w:r>
    </w:p>
    <w:p>
      <w:pPr>
        <w:spacing w:after="100"/>
        <w:ind w:firstLine="200"/>
        <w:jc w:val="both"/>
      </w:pPr>
      <w:r>
        <w:rPr/>
        <w:t xml:space="preserve">Higher-education institutions recruit prospective students through multiple marketing channels. Admissions teams need to identify promising enquiries, plan timely follow-up, and allocate limited campaign budgets. When lead records, channel metrics, and planning tools remain separate, it is difficult to compare performance consistently or understand how a lead score was produced.</w:t>
      </w:r>
    </w:p>
    <w:p>
      <w:pPr>
        <w:spacing w:after="100"/>
        <w:ind w:firstLine="200"/>
        <w:jc w:val="both"/>
      </w:pPr>
      <w:r>
        <w:rPr/>
        <w:t xml:space="preserve">Decision-Intel brings lead scoring, explanations, segmentation, analytics, and scenario planning into one authenticated application. Its predictive task estimates whether a lead converts according to the historical dataset label. This score is a decision-support signal and does not represent academic eligibility or merit.</w:t>
      </w:r>
    </w:p>
    <w:p>
      <w:pPr>
        <w:spacing w:after="100"/>
        <w:ind w:firstLine="200"/>
        <w:jc w:val="both"/>
      </w:pPr>
      <w:r>
        <w:rPr/>
        <w:t xml:space="preserve">This paper distinguishes implemented functions from experimental results and illustrative calculations. Interface labels do not by themselves demonstrate that a dedicated model exists for every feature.</w:t>
      </w:r>
    </w:p>
    <w:p>
      <w:pPr>
        <w:spacing w:before="240" w:after="120"/>
        <w:jc w:val="center"/>
      </w:pPr>
      <w:r>
        <w:rPr>
          <w:b/>
          <w:sz w:val="21"/>
        </w:rPr>
        <w:t xml:space="preserve">II. LITERATURE SURVEY</w:t>
      </w:r>
    </w:p>
    <w:p>
      <w:pPr>
        <w:spacing w:after="100"/>
        <w:ind w:firstLine="200"/>
        <w:jc w:val="both"/>
      </w:pPr>
      <w:r>
        <w:rPr/>
        <w:t xml:space="preserve">Supervised classification is used in recruitment analytics to estimate outcomes from historical lead attributes and engagement. Tree ensembles can model nonlinear relationships in tabular data, but their performance should be compared with baselines and evaluated on data held out from model fitting. SHAP assigns feature contributions to model outputs and helps analysts inspect individual predictions; these attributions describe model behavior rather than causal effects.</w:t>
      </w:r>
    </w:p>
    <w:p>
      <w:pPr>
        <w:spacing w:after="100"/>
        <w:ind w:firstLine="200"/>
        <w:jc w:val="both"/>
      </w:pPr>
      <w:r>
        <w:rPr/>
        <w:t xml:space="preserve">Marketing decision-support systems may connect historical channel performance to what-if planning. Projections based on constant historical efficiency do not model saturation, uncertain returns, or the causal response to spending changes. Add verified research on education lead conversion, explainable tabular models, and responsible marketing optimization. The MindSafe bibliography is about another topic and is not reusable evidence for this project.</w:t>
      </w:r>
    </w:p>
    <w:p>
      <w:pPr>
        <w:spacing w:before="240" w:after="120"/>
        <w:jc w:val="center"/>
      </w:pPr>
      <w:r>
        <w:rPr>
          <w:b/>
          <w:sz w:val="21"/>
        </w:rPr>
        <w:t xml:space="preserve">III. PROBLEM STATEMENT</w:t>
      </w:r>
    </w:p>
    <w:p>
      <w:pPr>
        <w:spacing w:after="100"/>
        <w:ind w:firstLine="200"/>
        <w:jc w:val="both"/>
      </w:pPr>
      <w:r>
        <w:rPr/>
        <w:t xml:space="preserve">The project addresses the lack of an integrated workflow for prospective-student leads and marketing performance. The objectives are to predict lead conversion, expose per-record feature contributions, organize leads into descriptive engagement segments, summarize channel results, compare budget scenarios under explicit assumptions, and support authenticated data and reporting workflows.</w:t>
      </w:r>
    </w:p>
    <w:p>
      <w:pPr>
        <w:spacing w:before="240" w:after="120"/>
        <w:jc w:val="center"/>
      </w:pPr>
      <w:r>
        <w:rPr>
          <w:b/>
          <w:sz w:val="21"/>
        </w:rPr>
        <w:t xml:space="preserve">IV. METHODOLOGY</w:t>
      </w:r>
    </w:p>
    <w:p>
      <w:pPr>
        <w:spacing w:before="120" w:after="60"/>
      </w:pPr>
      <w:r>
        <w:rPr>
          <w:b/>
          <w:sz w:val="21"/>
        </w:rPr>
        <w:t xml:space="preserve">A. Platform Architecture</w:t>
      </w:r>
    </w:p>
    <w:p>
      <w:pPr>
        <w:spacing w:after="100"/>
        <w:ind w:firstLine="200"/>
        <w:jc w:val="both"/>
      </w:pPr>
      <w:r>
        <w:rPr/>
        <w:t xml:space="preserve">The web client is built with SvelteKit and communicates with a FastAPI service. Backend functions include authentication, lead and prediction APIs, dataset management, analytics, scenario storage, and administration. SQLite is the default persistent store, while model artifacts are maintained separately. The architecture below represents implemented application components; it does not imply that every dashboard output comes from a trained model.</w:t>
      </w:r>
    </w:p>
    <w:p>
      <w:pPr>
        <w:spacing w:before="60" w:after="60"/>
        <w:jc w:val="center"/>
      </w:pPr>
      <w:r>
        <w:rPr>
          <w:b/>
        </w:rPr>
        <w:t xml:space="preserve">Figure 1. High-level system architecture</w:t>
      </w:r>
    </w:p>
    <w:tbl>
      <w:tblPr>
        <w:tblW w:w="0" w:type="auto"/>
        <w:tblBorders>
          <w:top w:val="single" w:sz="5" w:color="8093A5"/>
          <w:left w:val="single" w:sz="5" w:color="8093A5"/>
          <w:bottom w:val="single" w:sz="5" w:color="8093A5"/>
          <w:right w:val="single" w:sz="5" w:color="8093A5"/>
          <w:insideH w:val="single" w:sz="5" w:color="8093A5"/>
          <w:insideV w:val="single" w:sz="5" w:color="8093A5"/>
        </w:tblBorders>
      </w:tblPr>
      <w:tr>
        <w:tc>
          <w:tcPr>
            <w:shd w:fill="D9EAF7" w:val="clear"/>
          </w:tcPr>
          <w:p>
            <w:pPr>
              <w:jc w:val="center"/>
              <w:spacing w:before="40" w:after="40"/>
            </w:pPr>
            <w:r>
              <w:rPr>
                <w:b/>
                <w:sz w:val="17"/>
                <w:color w:val="222222"/>
              </w:rPr>
              <w:t xml:space="preserve">ADMISSIONS / MARKETING TEAM</w:t>
            </w:r>
          </w:p>
        </w:tc>
        <w:tc>
          <w:tcPr>
            <w:shd w:fill="FFFFFF" w:val="clear"/>
          </w:tcPr>
          <w:p>
            <w:pPr>
              <w:jc w:val="center"/>
              <w:spacing w:before="40" w:after="40"/>
            </w:pPr>
            <w:r>
              <w:rPr>
                <w:b/>
                <w:sz w:val="17"/>
                <w:color w:val="222222"/>
              </w:rPr>
              <w:t xml:space="preserve">?</w:t>
            </w:r>
          </w:p>
        </w:tc>
        <w:tc>
          <w:tcPr>
            <w:shd w:fill="D9EAF7" w:val="clear"/>
          </w:tcPr>
          <w:p>
            <w:pPr>
              <w:jc w:val="center"/>
              <w:spacing w:before="40" w:after="40"/>
            </w:pPr>
            <w:r>
              <w:rPr>
                <w:b/>
                <w:sz w:val="17"/>
                <w:color w:val="222222"/>
              </w:rPr>
              <w:t xml:space="preserve">WEB APPLICATION
SvelteKit</w:t>
            </w:r>
          </w:p>
        </w:tc>
        <w:tc>
          <w:tcPr>
            <w:shd w:fill="FFFFFF" w:val="clear"/>
          </w:tcPr>
          <w:p>
            <w:pPr>
              <w:jc w:val="center"/>
              <w:spacing w:before="40" w:after="40"/>
            </w:pPr>
            <w:r>
              <w:rPr>
                <w:b/>
                <w:sz w:val="17"/>
                <w:color w:val="222222"/>
              </w:rPr>
              <w:t xml:space="preserve">?</w:t>
            </w:r>
          </w:p>
        </w:tc>
        <w:tc>
          <w:tcPr>
            <w:shd w:fill="D9EAF7" w:val="clear"/>
          </w:tcPr>
          <w:p>
            <w:pPr>
              <w:jc w:val="center"/>
              <w:spacing w:before="40" w:after="40"/>
            </w:pPr>
            <w:r>
              <w:rPr>
                <w:b/>
                <w:sz w:val="17"/>
                <w:color w:val="222222"/>
              </w:rPr>
              <w:t xml:space="preserve">APPLICATION API
FastAPI + authentication</w:t>
            </w:r>
          </w:p>
        </w:tc>
        <w:tc>
          <w:tcPr>
            <w:shd w:fill="FFFFFF" w:val="clear"/>
          </w:tcPr>
          <w:p>
            <w:pPr>
              <w:jc w:val="center"/>
              <w:spacing w:before="40" w:after="40"/>
            </w:pPr>
            <w:r>
              <w:rPr>
                <w:b/>
                <w:sz w:val="17"/>
                <w:color w:val="222222"/>
              </w:rPr>
              <w:t xml:space="preserve">?</w:t>
            </w:r>
          </w:p>
        </w:tc>
        <w:tc>
          <w:tcPr>
            <w:shd w:fill="D9EAF7" w:val="clear"/>
          </w:tcPr>
          <w:p>
            <w:pPr>
              <w:jc w:val="center"/>
              <w:spacing w:before="40" w:after="40"/>
            </w:pPr>
            <w:r>
              <w:rPr>
                <w:b/>
                <w:sz w:val="17"/>
                <w:color w:val="222222"/>
              </w:rPr>
              <w:t xml:space="preserve">DECISION SERVICES</w:t>
            </w:r>
          </w:p>
        </w:tc>
      </w:tr>
      <w:tr>
        <w:tc>
          <w:tcPr>
            <w:shd w:fill="FFFFFF" w:val="clear"/>
          </w:tcPr>
          <w:p>
            <w:pPr>
              <w:jc w:val="center"/>
              <w:spacing w:before="40" w:after="40"/>
            </w:pPr>
            <w:r>
              <w:rPr>
                <w:sz w:val="17"/>
                <w:color w:val="222222"/>
              </w:rPr>
              <w:t xml:space="preserve"/>
            </w:r>
          </w:p>
        </w:tc>
        <w:tc>
          <w:tcPr>
            <w:shd w:fill="FFFFFF" w:val="clear"/>
          </w:tcPr>
          <w:p>
            <w:pPr>
              <w:jc w:val="center"/>
              <w:spacing w:before="40" w:after="40"/>
            </w:pPr>
            <w:r>
              <w:rPr>
                <w:sz w:val="17"/>
                <w:color w:val="222222"/>
              </w:rPr>
              <w:t xml:space="preserve"/>
            </w:r>
          </w:p>
        </w:tc>
        <w:tc>
          <w:tcPr>
            <w:shd w:fill="EEF5FA" w:val="clear"/>
          </w:tcPr>
          <w:p>
            <w:pPr>
              <w:jc w:val="center"/>
              <w:spacing w:before="40" w:after="40"/>
            </w:pPr>
            <w:r>
              <w:rPr>
                <w:sz w:val="17"/>
                <w:color w:val="222222"/>
              </w:rPr>
              <w:t xml:space="preserve">Lead and prediction screens</w:t>
            </w:r>
          </w:p>
        </w:tc>
        <w:tc>
          <w:tcPr>
            <w:shd w:fill="FFFFFF" w:val="clear"/>
          </w:tcPr>
          <w:p>
            <w:pPr>
              <w:jc w:val="center"/>
              <w:spacing w:before="40" w:after="40"/>
            </w:pPr>
            <w:r>
              <w:rPr>
                <w:sz w:val="17"/>
                <w:color w:val="222222"/>
              </w:rPr>
              <w:t xml:space="preserve"/>
            </w:r>
          </w:p>
        </w:tc>
        <w:tc>
          <w:tcPr>
            <w:shd w:fill="FFFFFF" w:val="clear"/>
          </w:tcPr>
          <w:p>
            <w:pPr>
              <w:jc w:val="center"/>
              <w:spacing w:before="40" w:after="40"/>
            </w:pPr>
            <w:r>
              <w:rPr>
                <w:sz w:val="17"/>
                <w:color w:val="222222"/>
              </w:rPr>
              <w:t xml:space="preserve"/>
            </w:r>
          </w:p>
        </w:tc>
        <w:tc>
          <w:tcPr>
            <w:shd w:fill="FFFFFF" w:val="clear"/>
          </w:tcPr>
          <w:p>
            <w:pPr>
              <w:jc w:val="center"/>
              <w:spacing w:before="40" w:after="40"/>
            </w:pPr>
            <w:r>
              <w:rPr>
                <w:sz w:val="17"/>
                <w:color w:val="222222"/>
              </w:rPr>
              <w:t xml:space="preserve"/>
            </w:r>
          </w:p>
        </w:tc>
        <w:tc>
          <w:tcPr>
            <w:shd w:fill="EEF5FA" w:val="clear"/>
          </w:tcPr>
          <w:p>
            <w:pPr>
              <w:jc w:val="center"/>
              <w:spacing w:before="40" w:after="40"/>
            </w:pPr>
            <w:r>
              <w:rPr>
                <w:sz w:val="17"/>
                <w:color w:val="222222"/>
              </w:rPr>
              <w:t xml:space="preserve">Scoring ? SHAP ? segments ? analytics ? scenarios</w:t>
            </w:r>
          </w:p>
        </w:tc>
      </w:tr>
      <w:tr>
        <w:tc>
          <w:tcPr>
            <w:shd w:fill="FFFFFF" w:val="clear"/>
          </w:tcPr>
          <w:p>
            <w:pPr>
              <w:jc w:val="center"/>
              <w:spacing w:before="40" w:after="40"/>
            </w:pPr>
            <w:r>
              <w:rPr>
                <w:sz w:val="17"/>
                <w:color w:val="222222"/>
              </w:rPr>
              <w:t xml:space="preserve"/>
            </w:r>
          </w:p>
        </w:tc>
        <w:tc>
          <w:tcPr>
            <w:shd w:fill="FFFFFF" w:val="clear"/>
          </w:tcPr>
          <w:p>
            <w:pPr>
              <w:jc w:val="center"/>
              <w:spacing w:before="40" w:after="40"/>
            </w:pPr>
            <w:r>
              <w:rPr>
                <w:b/>
                <w:sz w:val="17"/>
                <w:color w:val="222222"/>
              </w:rPr>
              <w:t xml:space="preserve">?</w:t>
            </w:r>
          </w:p>
        </w:tc>
        <w:tc>
          <w:tcPr>
            <w:shd w:fill="FFFFFF" w:val="clear"/>
          </w:tcPr>
          <w:p>
            <w:pPr>
              <w:jc w:val="center"/>
              <w:spacing w:before="40" w:after="40"/>
            </w:pPr>
            <w:r>
              <w:rPr>
                <w:sz w:val="17"/>
                <w:color w:val="222222"/>
              </w:rPr>
              <w:t xml:space="preserve"/>
            </w:r>
          </w:p>
        </w:tc>
        <w:tc>
          <w:tcPr>
            <w:shd w:fill="FFFFFF" w:val="clear"/>
          </w:tcPr>
          <w:p>
            <w:pPr>
              <w:jc w:val="center"/>
              <w:spacing w:before="40" w:after="40"/>
            </w:pPr>
            <w:r>
              <w:rPr>
                <w:b/>
                <w:sz w:val="17"/>
                <w:color w:val="222222"/>
              </w:rPr>
              <w:t xml:space="preserve">?</w:t>
            </w:r>
          </w:p>
        </w:tc>
        <w:tc>
          <w:tcPr>
            <w:shd w:fill="FFFFFF" w:val="clear"/>
          </w:tcPr>
          <w:p>
            <w:pPr>
              <w:jc w:val="center"/>
              <w:spacing w:before="40" w:after="40"/>
            </w:pPr>
            <w:r>
              <w:rPr>
                <w:sz w:val="17"/>
                <w:color w:val="222222"/>
              </w:rPr>
              <w:t xml:space="preserve"/>
            </w:r>
          </w:p>
        </w:tc>
        <w:tc>
          <w:tcPr>
            <w:shd w:fill="FFFFFF" w:val="clear"/>
          </w:tcPr>
          <w:p>
            <w:pPr>
              <w:jc w:val="center"/>
              <w:spacing w:before="40" w:after="40"/>
            </w:pPr>
            <w:r>
              <w:rPr>
                <w:b/>
                <w:sz w:val="17"/>
                <w:color w:val="222222"/>
              </w:rPr>
              <w:t xml:space="preserve">?</w:t>
            </w:r>
          </w:p>
        </w:tc>
        <w:tc>
          <w:tcPr>
            <w:shd w:fill="FFFFFF" w:val="clear"/>
          </w:tcPr>
          <w:p>
            <w:pPr>
              <w:jc w:val="center"/>
              <w:spacing w:before="40" w:after="40"/>
            </w:pPr>
            <w:r>
              <w:rPr>
                <w:sz w:val="17"/>
                <w:color w:val="222222"/>
              </w:rPr>
              <w:t xml:space="preserve"/>
            </w:r>
          </w:p>
        </w:tc>
      </w:tr>
      <w:tr>
        <w:tc>
          <w:tcPr>
            <w:shd w:fill="FFFFFF" w:val="clear"/>
          </w:tcPr>
          <w:p>
            <w:pPr>
              <w:jc w:val="center"/>
              <w:spacing w:before="40" w:after="40"/>
            </w:pPr>
            <w:r>
              <w:rPr>
                <w:sz w:val="17"/>
                <w:color w:val="222222"/>
              </w:rPr>
              <w:t xml:space="preserve"/>
            </w:r>
          </w:p>
        </w:tc>
        <w:tc>
          <w:tcPr>
            <w:shd w:fill="FFFFFF" w:val="clear"/>
          </w:tcPr>
          <w:p>
            <w:pPr>
              <w:jc w:val="center"/>
              <w:spacing w:before="40" w:after="40"/>
            </w:pPr>
            <w:r>
              <w:rPr>
                <w:sz w:val="17"/>
                <w:color w:val="222222"/>
              </w:rPr>
              <w:t xml:space="preserve"/>
            </w:r>
          </w:p>
        </w:tc>
        <w:tc>
          <w:tcPr>
            <w:shd w:fill="DDEBF7" w:val="clear"/>
          </w:tcPr>
          <w:p>
            <w:pPr>
              <w:jc w:val="center"/>
              <w:spacing w:before="40" w:after="40"/>
            </w:pPr>
            <w:r>
              <w:rPr>
                <w:b/>
                <w:sz w:val="17"/>
                <w:color w:val="222222"/>
              </w:rPr>
              <w:t xml:space="preserve">MODEL PIPELINE</w:t>
            </w:r>
          </w:p>
        </w:tc>
        <w:tc>
          <w:tcPr>
            <w:shd w:fill="FFFFFF" w:val="clear"/>
          </w:tcPr>
          <w:p>
            <w:pPr>
              <w:jc w:val="center"/>
              <w:spacing w:before="40" w:after="40"/>
            </w:pPr>
            <w:r>
              <w:rPr>
                <w:sz w:val="17"/>
                <w:color w:val="222222"/>
              </w:rPr>
              <w:t xml:space="preserve"/>
            </w:r>
          </w:p>
        </w:tc>
        <w:tc>
          <w:tcPr>
            <w:shd w:fill="E2F0D9" w:val="clear"/>
          </w:tcPr>
          <w:p>
            <w:pPr>
              <w:jc w:val="center"/>
              <w:spacing w:before="40" w:after="40"/>
            </w:pPr>
            <w:r>
              <w:rPr>
                <w:b/>
                <w:sz w:val="17"/>
                <w:color w:val="222222"/>
              </w:rPr>
              <w:t xml:space="preserve">PERSISTENCE</w:t>
            </w:r>
          </w:p>
        </w:tc>
        <w:tc>
          <w:tcPr>
            <w:shd w:fill="FFFFFF" w:val="clear"/>
          </w:tcPr>
          <w:p>
            <w:pPr>
              <w:jc w:val="center"/>
              <w:spacing w:before="40" w:after="40"/>
            </w:pPr>
            <w:r>
              <w:rPr>
                <w:sz w:val="17"/>
                <w:color w:val="222222"/>
              </w:rPr>
              <w:t xml:space="preserve"/>
            </w:r>
          </w:p>
        </w:tc>
        <w:tc>
          <w:tcPr>
            <w:shd w:fill="FFFFFF" w:val="clear"/>
          </w:tcPr>
          <w:p>
            <w:pPr>
              <w:jc w:val="center"/>
              <w:spacing w:before="40" w:after="40"/>
            </w:pPr>
            <w:r>
              <w:rPr>
                <w:sz w:val="17"/>
                <w:color w:val="222222"/>
              </w:rPr>
              <w:t xml:space="preserve"/>
            </w:r>
          </w:p>
        </w:tc>
      </w:tr>
      <w:tr>
        <w:tc>
          <w:tcPr>
            <w:shd w:fill="FFFFFF" w:val="clear"/>
          </w:tcPr>
          <w:p>
            <w:pPr>
              <w:jc w:val="center"/>
              <w:spacing w:before="40" w:after="40"/>
            </w:pPr>
            <w:r>
              <w:rPr>
                <w:sz w:val="17"/>
                <w:color w:val="222222"/>
              </w:rPr>
              <w:t xml:space="preserve"/>
            </w:r>
          </w:p>
        </w:tc>
        <w:tc>
          <w:tcPr>
            <w:shd w:fill="FFFFFF" w:val="clear"/>
          </w:tcPr>
          <w:p>
            <w:pPr>
              <w:jc w:val="center"/>
              <w:spacing w:before="40" w:after="40"/>
            </w:pPr>
            <w:r>
              <w:rPr>
                <w:sz w:val="17"/>
                <w:color w:val="222222"/>
              </w:rPr>
              <w:t xml:space="preserve"/>
            </w:r>
          </w:p>
        </w:tc>
        <w:tc>
          <w:tcPr>
            <w:shd w:fill="F3F8FC" w:val="clear"/>
          </w:tcPr>
          <w:p>
            <w:pPr>
              <w:jc w:val="center"/>
              <w:spacing w:before="40" w:after="40"/>
            </w:pPr>
            <w:r>
              <w:rPr>
                <w:sz w:val="17"/>
                <w:color w:val="222222"/>
              </w:rPr>
              <w:t xml:space="preserve">XGBoost conversion model
SHAP attribution
K-Means descriptive segments</w:t>
            </w:r>
          </w:p>
        </w:tc>
        <w:tc>
          <w:tcPr>
            <w:shd w:fill="FFFFFF" w:val="clear"/>
          </w:tcPr>
          <w:p>
            <w:pPr>
              <w:jc w:val="center"/>
              <w:spacing w:before="40" w:after="40"/>
            </w:pPr>
            <w:r>
              <w:rPr>
                <w:sz w:val="17"/>
                <w:color w:val="222222"/>
              </w:rPr>
              <w:t xml:space="preserve"/>
            </w:r>
          </w:p>
        </w:tc>
        <w:tc>
          <w:tcPr>
            <w:shd w:fill="F4F8F1" w:val="clear"/>
          </w:tcPr>
          <w:p>
            <w:pPr>
              <w:jc w:val="center"/>
              <w:spacing w:before="40" w:after="40"/>
            </w:pPr>
            <w:r>
              <w:rPr>
                <w:sz w:val="17"/>
                <w:color w:val="222222"/>
              </w:rPr>
              <w:t xml:space="preserve">SQLite records
leads ? predictions ? datasets
analytics ? scenarios</w:t>
            </w:r>
          </w:p>
        </w:tc>
        <w:tc>
          <w:tcPr>
            <w:shd w:fill="FFFFFF" w:val="clear"/>
          </w:tcPr>
          <w:p>
            <w:pPr>
              <w:jc w:val="center"/>
              <w:spacing w:before="40" w:after="40"/>
            </w:pPr>
            <w:r>
              <w:rPr>
                <w:sz w:val="17"/>
                <w:color w:val="222222"/>
              </w:rPr>
              <w:t xml:space="preserve"/>
            </w:r>
          </w:p>
        </w:tc>
        <w:tc>
          <w:tcPr>
            <w:shd w:fill="FFFFFF" w:val="clear"/>
          </w:tcPr>
          <w:p>
            <w:pPr>
              <w:jc w:val="center"/>
              <w:spacing w:before="40" w:after="40"/>
            </w:pPr>
            <w:r>
              <w:rPr>
                <w:sz w:val="17"/>
                <w:color w:val="222222"/>
              </w:rPr>
              <w:t xml:space="preserve"/>
            </w:r>
          </w:p>
        </w:tc>
      </w:tr>
    </w:tbl>
    <w:p>
      <w:pPr>
        <w:spacing w:before="120" w:after="60"/>
      </w:pPr>
      <w:r>
        <w:rPr>
          <w:b/>
          <w:sz w:val="21"/>
        </w:rPr>
        <w:t xml:space="preserve">B. Dataset and Target</w:t>
      </w:r>
    </w:p>
    <w:p>
      <w:pPr>
        <w:spacing w:after="100"/>
        <w:ind w:firstLine="200"/>
        <w:jc w:val="both"/>
      </w:pPr>
      <w:r>
        <w:rPr/>
        <w:t xml:space="preserve">The conversion report identifies Leads X Education.csv with 9,240 rows and positive conversion rate 0.3854. The binary target is Converted. Model evaluation uses a stratified 80:20 split with random_state 42. Prospect ID and Lead Number are excluded as identifiers, and constant columns are removed. Dataset provenance, collection period, license, and permitted use should be added from verified source information before publication.</w:t>
      </w:r>
    </w:p>
    <w:p>
      <w:pPr>
        <w:spacing w:before="120" w:after="60"/>
      </w:pPr>
      <w:r>
        <w:rPr>
          <w:b/>
          <w:sz w:val="21"/>
        </w:rPr>
        <w:t xml:space="preserve">C. Preprocessing and Features</w:t>
      </w:r>
    </w:p>
    <w:p>
      <w:pPr>
        <w:spacing w:after="100"/>
        <w:ind w:firstLine="200"/>
        <w:jc w:val="both"/>
      </w:pPr>
      <w:r>
        <w:rPr/>
        <w:t xml:space="preserve">Numeric columns use median imputation. Categorical columns use most-frequent imputation followed by one-hot encoding, with unknown categories ignored. Explicit numeric fields include TotalVisits, Total Time Spent on Website, Page Views Per Visit, Asymmetrique Activity Score, and Asymmetrique Profile Score; additional usable columns are resolved from the data schema. Identifiers, the target, and constant features are excluded. Training and serving share the same preprocessing contract.</w:t>
      </w:r>
    </w:p>
    <w:p>
      <w:pPr>
        <w:spacing w:before="120" w:after="60"/>
      </w:pPr>
      <w:r>
        <w:rPr>
          <w:b/>
          <w:sz w:val="21"/>
        </w:rPr>
        <w:t xml:space="preserve">D. Model Development and Evaluation</w:t>
      </w:r>
    </w:p>
    <w:p>
      <w:pPr>
        <w:spacing w:after="100"/>
        <w:ind w:firstLine="200"/>
        <w:jc w:val="both"/>
      </w:pPr>
      <w:r>
        <w:rPr/>
        <w:t xml:space="preserve">The selected estimator is xgboost.XGBClassifier, configured with 400 trees, maximum depth 4, learning rate 0.08, row and column subsampling of 0.9, and random state 42. Logistic Regression, Random Forest, and Gradient Boosting are comparison models. Metrics include accuracy, balanced accuracy, precision, recall, F1, ROC-AUC, and a confusion matrix. Threshold-dependent scores use probability threshold 0.5. The serving artifact is refitted on all labeled data after the held-out comparison; reported metrics remain from the held-out split.</w:t>
      </w:r>
    </w:p>
    <w:p>
      <w:pPr>
        <w:spacing w:before="120" w:after="60"/>
      </w:pPr>
      <w:r>
        <w:rPr>
          <w:b/>
          <w:sz w:val="21"/>
        </w:rPr>
        <w:t xml:space="preserve">E. Explanations and Segmentation</w:t>
      </w:r>
    </w:p>
    <w:p>
      <w:pPr>
        <w:spacing w:after="100"/>
        <w:ind w:firstLine="200"/>
        <w:jc w:val="both"/>
      </w:pPr>
      <w:r>
        <w:rPr/>
        <w:t xml:space="preserve">SHAP feature attribution is available for lead predictions and shows factors contributing positively or negatively to an individual model score. These attributions explain model output, not causes. Descriptive K-Means clustering over engagement features produces four ranked segments: Low Engagement, Casual Browsers, Engaged Prospects, and High Intent. Segment membership is not a conversion guarantee.</w:t>
      </w:r>
    </w:p>
    <w:p>
      <w:pPr>
        <w:spacing w:before="120" w:after="60"/>
      </w:pPr>
      <w:r>
        <w:rPr>
          <w:b/>
          <w:sz w:val="21"/>
        </w:rPr>
        <w:t xml:space="preserve">F. Channel Analytics and Budget Scenarios</w:t>
      </w:r>
    </w:p>
    <w:p>
      <w:pPr>
        <w:spacing w:after="100"/>
        <w:ind w:firstLine="200"/>
        <w:jc w:val="both"/>
      </w:pPr>
      <w:r>
        <w:rPr/>
        <w:t xml:space="preserve">Channel summaries are derived from stored lead records. The seeding workflow creates baseline and variation scenarios. Projected conversions apply historical conversions per unit spend to proposed allocation; projected cost per acquisition is budget divided by estimated conversions. This assumes constant efficiency and omits saturation, uncertainty, changing campaign mix, and causal response to spend. Current budget outputs are illustrative, not trained reinforcement-learning results.</w:t>
      </w:r>
    </w:p>
    <w:p>
      <w:pPr>
        <w:spacing w:before="120" w:after="60"/>
      </w:pPr>
      <w:r>
        <w:rPr>
          <w:b/>
          <w:sz w:val="21"/>
        </w:rPr>
        <w:t xml:space="preserve">G. Separate Student Outcome Experiment</w:t>
      </w:r>
    </w:p>
    <w:p>
      <w:pPr>
        <w:spacing w:after="100"/>
        <w:ind w:firstLine="200"/>
        <w:jc w:val="both"/>
      </w:pPr>
      <w:r>
        <w:rPr/>
        <w:t xml:space="preserve">A distinct experiment classifies Dropout, Enrolled, and Graduate outcomes on 4,424 rows. Its report selects Random Forest with accuracy 0.7593, macro F1 0.7076, and macro ROC-AUC 0.8863 on a stratified 80:20 split. This dataset contains no direct marketing or lead-conversion data; those results are not results of the lead model.</w:t>
      </w:r>
    </w:p>
    <w:p>
      <w:pPr>
        <w:spacing w:before="240" w:after="120"/>
        <w:jc w:val="center"/>
      </w:pPr>
      <w:r>
        <w:rPr>
          <w:b/>
          <w:sz w:val="21"/>
        </w:rPr>
        <w:t xml:space="preserve">V. RESULTS</w:t>
      </w:r>
    </w:p>
    <w:p>
      <w:pPr>
        <w:spacing w:after="100"/>
        <w:ind w:firstLine="200"/>
        <w:jc w:val="both"/>
      </w:pPr>
      <w:r>
        <w:rPr/>
        <w:t xml:space="preserve">Table I summarizes lead-conversion model comparisons in the repository report. These metrics come from one stratified held-out split and are not prospective or external validation.</w:t>
      </w:r>
    </w:p>
    <w:tbl>
      <w:tblPr>
        <w:tblW w:w="0" w:type="auto"/>
        <w:tblBorders>
          <w:top w:val="single" w:sz="5" w:color="8093A5"/>
          <w:left w:val="single" w:sz="5" w:color="8093A5"/>
          <w:bottom w:val="single" w:sz="5" w:color="8093A5"/>
          <w:right w:val="single" w:sz="5" w:color="8093A5"/>
          <w:insideH w:val="single" w:sz="5" w:color="8093A5"/>
          <w:insideV w:val="single" w:sz="5" w:color="8093A5"/>
        </w:tblBorders>
      </w:tblPr>
      <w:tr>
        <w:tc>
          <w:tcPr>
            <w:shd w:fill="D9EAF7" w:val="clear"/>
          </w:tcPr>
          <w:p>
            <w:pPr>
              <w:jc w:val="center"/>
              <w:spacing w:before="40" w:after="40"/>
            </w:pPr>
            <w:r>
              <w:rPr>
                <w:b/>
                <w:sz w:val="17"/>
                <w:color w:val="17365D"/>
              </w:rPr>
              <w:t xml:space="preserve">Model</w:t>
            </w:r>
          </w:p>
        </w:tc>
        <w:tc>
          <w:tcPr>
            <w:shd w:fill="D9EAF7" w:val="clear"/>
          </w:tcPr>
          <w:p>
            <w:pPr>
              <w:jc w:val="center"/>
              <w:spacing w:before="40" w:after="40"/>
            </w:pPr>
            <w:r>
              <w:rPr>
                <w:b/>
                <w:sz w:val="17"/>
                <w:color w:val="17365D"/>
              </w:rPr>
              <w:t xml:space="preserve">Accuracy</w:t>
            </w:r>
          </w:p>
        </w:tc>
        <w:tc>
          <w:tcPr>
            <w:shd w:fill="D9EAF7" w:val="clear"/>
          </w:tcPr>
          <w:p>
            <w:pPr>
              <w:jc w:val="center"/>
              <w:spacing w:before="40" w:after="40"/>
            </w:pPr>
            <w:r>
              <w:rPr>
                <w:b/>
                <w:sz w:val="17"/>
                <w:color w:val="17365D"/>
              </w:rPr>
              <w:t xml:space="preserve">Balanced Acc.</w:t>
            </w:r>
          </w:p>
        </w:tc>
        <w:tc>
          <w:tcPr>
            <w:shd w:fill="D9EAF7" w:val="clear"/>
          </w:tcPr>
          <w:p>
            <w:pPr>
              <w:jc w:val="center"/>
              <w:spacing w:before="40" w:after="40"/>
            </w:pPr>
            <w:r>
              <w:rPr>
                <w:b/>
                <w:sz w:val="17"/>
                <w:color w:val="17365D"/>
              </w:rPr>
              <w:t xml:space="preserve">Precision</w:t>
            </w:r>
          </w:p>
        </w:tc>
        <w:tc>
          <w:tcPr>
            <w:shd w:fill="D9EAF7" w:val="clear"/>
          </w:tcPr>
          <w:p>
            <w:pPr>
              <w:jc w:val="center"/>
              <w:spacing w:before="40" w:after="40"/>
            </w:pPr>
            <w:r>
              <w:rPr>
                <w:b/>
                <w:sz w:val="17"/>
                <w:color w:val="17365D"/>
              </w:rPr>
              <w:t xml:space="preserve">Recall</w:t>
            </w:r>
          </w:p>
        </w:tc>
        <w:tc>
          <w:tcPr>
            <w:shd w:fill="D9EAF7" w:val="clear"/>
          </w:tcPr>
          <w:p>
            <w:pPr>
              <w:jc w:val="center"/>
              <w:spacing w:before="40" w:after="40"/>
            </w:pPr>
            <w:r>
              <w:rPr>
                <w:b/>
                <w:sz w:val="17"/>
                <w:color w:val="17365D"/>
              </w:rPr>
              <w:t xml:space="preserve">F1</w:t>
            </w:r>
          </w:p>
        </w:tc>
        <w:tc>
          <w:tcPr>
            <w:shd w:fill="D9EAF7" w:val="clear"/>
          </w:tcPr>
          <w:p>
            <w:pPr>
              <w:jc w:val="center"/>
              <w:spacing w:before="40" w:after="40"/>
            </w:pPr>
            <w:r>
              <w:rPr>
                <w:b/>
                <w:sz w:val="17"/>
                <w:color w:val="17365D"/>
              </w:rPr>
              <w:t xml:space="preserve">ROC-AUC</w:t>
            </w:r>
          </w:p>
        </w:tc>
      </w:tr>
      <w:tr>
        <w:tc>
          <w:tcPr>
            <w:shd w:fill="FFFFFF" w:val="clear"/>
          </w:tcPr>
          <w:p>
            <w:pPr>
              <w:jc w:val="center"/>
              <w:spacing w:before="40" w:after="40"/>
            </w:pPr>
            <w:r>
              <w:rPr>
                <w:sz w:val="17"/>
                <w:color w:val="222222"/>
              </w:rPr>
              <w:t xml:space="preserve">XGBoost</w:t>
            </w:r>
          </w:p>
        </w:tc>
        <w:tc>
          <w:tcPr>
            <w:shd w:fill="FFFFFF" w:val="clear"/>
          </w:tcPr>
          <w:p>
            <w:pPr>
              <w:jc w:val="center"/>
              <w:spacing w:before="40" w:after="40"/>
            </w:pPr>
            <w:r>
              <w:rPr>
                <w:sz w:val="17"/>
                <w:color w:val="222222"/>
              </w:rPr>
              <w:t xml:space="preserve">0.9318</w:t>
            </w:r>
          </w:p>
        </w:tc>
        <w:tc>
          <w:tcPr>
            <w:shd w:fill="FFFFFF" w:val="clear"/>
          </w:tcPr>
          <w:p>
            <w:pPr>
              <w:jc w:val="center"/>
              <w:spacing w:before="40" w:after="40"/>
            </w:pPr>
            <w:r>
              <w:rPr>
                <w:sz w:val="17"/>
                <w:color w:val="222222"/>
              </w:rPr>
              <w:t xml:space="preserve">0.9291</w:t>
            </w:r>
          </w:p>
        </w:tc>
        <w:tc>
          <w:tcPr>
            <w:shd w:fill="FFFFFF" w:val="clear"/>
          </w:tcPr>
          <w:p>
            <w:pPr>
              <w:jc w:val="center"/>
              <w:spacing w:before="40" w:after="40"/>
            </w:pPr>
            <w:r>
              <w:rPr>
                <w:sz w:val="17"/>
                <w:color w:val="222222"/>
              </w:rPr>
              <w:t xml:space="preserve">0.9069</w:t>
            </w:r>
          </w:p>
        </w:tc>
        <w:tc>
          <w:tcPr>
            <w:shd w:fill="FFFFFF" w:val="clear"/>
          </w:tcPr>
          <w:p>
            <w:pPr>
              <w:jc w:val="center"/>
              <w:spacing w:before="40" w:after="40"/>
            </w:pPr>
            <w:r>
              <w:rPr>
                <w:sz w:val="17"/>
                <w:color w:val="222222"/>
              </w:rPr>
              <w:t xml:space="preserve">0.9171</w:t>
            </w:r>
          </w:p>
        </w:tc>
        <w:tc>
          <w:tcPr>
            <w:shd w:fill="FFFFFF" w:val="clear"/>
          </w:tcPr>
          <w:p>
            <w:pPr>
              <w:jc w:val="center"/>
              <w:spacing w:before="40" w:after="40"/>
            </w:pPr>
            <w:r>
              <w:rPr>
                <w:sz w:val="17"/>
                <w:color w:val="222222"/>
              </w:rPr>
              <w:t xml:space="preserve">0.9120</w:t>
            </w:r>
          </w:p>
        </w:tc>
        <w:tc>
          <w:tcPr>
            <w:shd w:fill="FFFFFF" w:val="clear"/>
          </w:tcPr>
          <w:p>
            <w:pPr>
              <w:jc w:val="center"/>
              <w:spacing w:before="40" w:after="40"/>
            </w:pPr>
            <w:r>
              <w:rPr>
                <w:sz w:val="17"/>
                <w:color w:val="222222"/>
              </w:rPr>
              <w:t xml:space="preserve">0.9792</w:t>
            </w:r>
          </w:p>
        </w:tc>
      </w:tr>
      <w:tr>
        <w:tc>
          <w:tcPr>
            <w:shd w:fill="FFFFFF" w:val="clear"/>
          </w:tcPr>
          <w:p>
            <w:pPr>
              <w:jc w:val="center"/>
              <w:spacing w:before="40" w:after="40"/>
            </w:pPr>
            <w:r>
              <w:rPr>
                <w:sz w:val="17"/>
                <w:color w:val="222222"/>
              </w:rPr>
              <w:t xml:space="preserve">Logistic Regression</w:t>
            </w:r>
          </w:p>
        </w:tc>
        <w:tc>
          <w:tcPr>
            <w:shd w:fill="FFFFFF" w:val="clear"/>
          </w:tcPr>
          <w:p>
            <w:pPr>
              <w:jc w:val="center"/>
              <w:spacing w:before="40" w:after="40"/>
            </w:pPr>
            <w:r>
              <w:rPr>
                <w:sz w:val="17"/>
                <w:color w:val="222222"/>
              </w:rPr>
              <w:t xml:space="preserve">0.9232</w:t>
            </w:r>
          </w:p>
        </w:tc>
        <w:tc>
          <w:tcPr>
            <w:shd w:fill="FFFFFF" w:val="clear"/>
          </w:tcPr>
          <w:p>
            <w:pPr>
              <w:jc w:val="center"/>
              <w:spacing w:before="40" w:after="40"/>
            </w:pPr>
            <w:r>
              <w:rPr>
                <w:sz w:val="17"/>
                <w:color w:val="222222"/>
              </w:rPr>
              <w:t xml:space="preserve">0.9178</w:t>
            </w:r>
          </w:p>
        </w:tc>
        <w:tc>
          <w:tcPr>
            <w:shd w:fill="FFFFFF" w:val="clear"/>
          </w:tcPr>
          <w:p>
            <w:pPr>
              <w:jc w:val="center"/>
              <w:spacing w:before="40" w:after="40"/>
            </w:pPr>
            <w:r>
              <w:rPr>
                <w:sz w:val="17"/>
                <w:color w:val="222222"/>
              </w:rPr>
              <w:t xml:space="preserve">0.9048</w:t>
            </w:r>
          </w:p>
        </w:tc>
        <w:tc>
          <w:tcPr>
            <w:shd w:fill="FFFFFF" w:val="clear"/>
          </w:tcPr>
          <w:p>
            <w:pPr>
              <w:jc w:val="center"/>
              <w:spacing w:before="40" w:after="40"/>
            </w:pPr>
            <w:r>
              <w:rPr>
                <w:sz w:val="17"/>
                <w:color w:val="222222"/>
              </w:rPr>
              <w:t xml:space="preserve">0.8947</w:t>
            </w:r>
          </w:p>
        </w:tc>
        <w:tc>
          <w:tcPr>
            <w:shd w:fill="FFFFFF" w:val="clear"/>
          </w:tcPr>
          <w:p>
            <w:pPr>
              <w:jc w:val="center"/>
              <w:spacing w:before="40" w:after="40"/>
            </w:pPr>
            <w:r>
              <w:rPr>
                <w:sz w:val="17"/>
                <w:color w:val="222222"/>
              </w:rPr>
              <w:t xml:space="preserve">0.8997</w:t>
            </w:r>
          </w:p>
        </w:tc>
        <w:tc>
          <w:tcPr>
            <w:shd w:fill="FFFFFF" w:val="clear"/>
          </w:tcPr>
          <w:p>
            <w:pPr>
              <w:jc w:val="center"/>
              <w:spacing w:before="40" w:after="40"/>
            </w:pPr>
            <w:r>
              <w:rPr>
                <w:sz w:val="17"/>
                <w:color w:val="222222"/>
              </w:rPr>
              <w:t xml:space="preserve">0.9712</w:t>
            </w:r>
          </w:p>
        </w:tc>
      </w:tr>
      <w:tr>
        <w:tc>
          <w:tcPr>
            <w:shd w:fill="FFFFFF" w:val="clear"/>
          </w:tcPr>
          <w:p>
            <w:pPr>
              <w:jc w:val="center"/>
              <w:spacing w:before="40" w:after="40"/>
            </w:pPr>
            <w:r>
              <w:rPr>
                <w:sz w:val="17"/>
                <w:color w:val="222222"/>
              </w:rPr>
              <w:t xml:space="preserve">Random Forest</w:t>
            </w:r>
          </w:p>
        </w:tc>
        <w:tc>
          <w:tcPr>
            <w:shd w:fill="FFFFFF" w:val="clear"/>
          </w:tcPr>
          <w:p>
            <w:pPr>
              <w:jc w:val="center"/>
              <w:spacing w:before="40" w:after="40"/>
            </w:pPr>
            <w:r>
              <w:rPr>
                <w:sz w:val="17"/>
                <w:color w:val="222222"/>
              </w:rPr>
              <w:t xml:space="preserve">0.9291</w:t>
            </w:r>
          </w:p>
        </w:tc>
        <w:tc>
          <w:tcPr>
            <w:shd w:fill="FFFFFF" w:val="clear"/>
          </w:tcPr>
          <w:p>
            <w:pPr>
              <w:jc w:val="center"/>
              <w:spacing w:before="40" w:after="40"/>
            </w:pPr>
            <w:r>
              <w:rPr>
                <w:sz w:val="17"/>
                <w:color w:val="222222"/>
              </w:rPr>
              <w:t xml:space="preserve">0.9250</w:t>
            </w:r>
          </w:p>
        </w:tc>
        <w:tc>
          <w:tcPr>
            <w:shd w:fill="FFFFFF" w:val="clear"/>
          </w:tcPr>
          <w:p>
            <w:pPr>
              <w:jc w:val="center"/>
              <w:spacing w:before="40" w:after="40"/>
            </w:pPr>
            <w:r>
              <w:rPr>
                <w:sz w:val="17"/>
                <w:color w:val="222222"/>
              </w:rPr>
              <w:t xml:space="preserve">0.9086</w:t>
            </w:r>
          </w:p>
        </w:tc>
        <w:tc>
          <w:tcPr>
            <w:shd w:fill="FFFFFF" w:val="clear"/>
          </w:tcPr>
          <w:p>
            <w:pPr>
              <w:jc w:val="center"/>
              <w:spacing w:before="40" w:after="40"/>
            </w:pPr>
            <w:r>
              <w:rPr>
                <w:sz w:val="17"/>
                <w:color w:val="222222"/>
              </w:rPr>
              <w:t xml:space="preserve">0.9073</w:t>
            </w:r>
          </w:p>
        </w:tc>
        <w:tc>
          <w:tcPr>
            <w:shd w:fill="FFFFFF" w:val="clear"/>
          </w:tcPr>
          <w:p>
            <w:pPr>
              <w:jc w:val="center"/>
              <w:spacing w:before="40" w:after="40"/>
            </w:pPr>
            <w:r>
              <w:rPr>
                <w:sz w:val="17"/>
                <w:color w:val="222222"/>
              </w:rPr>
              <w:t xml:space="preserve">0.9079</w:t>
            </w:r>
          </w:p>
        </w:tc>
        <w:tc>
          <w:tcPr>
            <w:shd w:fill="FFFFFF" w:val="clear"/>
          </w:tcPr>
          <w:p>
            <w:pPr>
              <w:jc w:val="center"/>
              <w:spacing w:before="40" w:after="40"/>
            </w:pPr>
            <w:r>
              <w:rPr>
                <w:sz w:val="17"/>
                <w:color w:val="222222"/>
              </w:rPr>
              <w:t xml:space="preserve">0.9732</w:t>
            </w:r>
          </w:p>
        </w:tc>
      </w:tr>
      <w:tr>
        <w:tc>
          <w:tcPr>
            <w:shd w:fill="FFFFFF" w:val="clear"/>
          </w:tcPr>
          <w:p>
            <w:pPr>
              <w:jc w:val="center"/>
              <w:spacing w:before="40" w:after="40"/>
            </w:pPr>
            <w:r>
              <w:rPr>
                <w:sz w:val="17"/>
                <w:color w:val="222222"/>
              </w:rPr>
              <w:t xml:space="preserve">Gradient Boosting</w:t>
            </w:r>
          </w:p>
        </w:tc>
        <w:tc>
          <w:tcPr>
            <w:shd w:fill="FFFFFF" w:val="clear"/>
          </w:tcPr>
          <w:p>
            <w:pPr>
              <w:jc w:val="center"/>
              <w:spacing w:before="40" w:after="40"/>
            </w:pPr>
            <w:r>
              <w:rPr>
                <w:sz w:val="17"/>
                <w:color w:val="222222"/>
              </w:rPr>
              <w:t xml:space="preserve">0.9318</w:t>
            </w:r>
          </w:p>
        </w:tc>
        <w:tc>
          <w:tcPr>
            <w:shd w:fill="FFFFFF" w:val="clear"/>
          </w:tcPr>
          <w:p>
            <w:pPr>
              <w:jc w:val="center"/>
              <w:spacing w:before="40" w:after="40"/>
            </w:pPr>
            <w:r>
              <w:rPr>
                <w:sz w:val="17"/>
                <w:color w:val="222222"/>
              </w:rPr>
              <w:t xml:space="preserve">0.9304</w:t>
            </w:r>
          </w:p>
        </w:tc>
        <w:tc>
          <w:tcPr>
            <w:shd w:fill="FFFFFF" w:val="clear"/>
          </w:tcPr>
          <w:p>
            <w:pPr>
              <w:jc w:val="center"/>
              <w:spacing w:before="40" w:after="40"/>
            </w:pPr>
            <w:r>
              <w:rPr>
                <w:sz w:val="17"/>
                <w:color w:val="222222"/>
              </w:rPr>
              <w:t xml:space="preserve">0.9014</w:t>
            </w:r>
          </w:p>
        </w:tc>
        <w:tc>
          <w:tcPr>
            <w:shd w:fill="FFFFFF" w:val="clear"/>
          </w:tcPr>
          <w:p>
            <w:pPr>
              <w:jc w:val="center"/>
              <w:spacing w:before="40" w:after="40"/>
            </w:pPr>
            <w:r>
              <w:rPr>
                <w:sz w:val="17"/>
                <w:color w:val="222222"/>
              </w:rPr>
              <w:t xml:space="preserve">0.9242</w:t>
            </w:r>
          </w:p>
        </w:tc>
        <w:tc>
          <w:tcPr>
            <w:shd w:fill="FFFFFF" w:val="clear"/>
          </w:tcPr>
          <w:p>
            <w:pPr>
              <w:jc w:val="center"/>
              <w:spacing w:before="40" w:after="40"/>
            </w:pPr>
            <w:r>
              <w:rPr>
                <w:sz w:val="17"/>
                <w:color w:val="222222"/>
              </w:rPr>
              <w:t xml:space="preserve">0.9126</w:t>
            </w:r>
          </w:p>
        </w:tc>
        <w:tc>
          <w:tcPr>
            <w:shd w:fill="FFFFFF" w:val="clear"/>
          </w:tcPr>
          <w:p>
            <w:pPr>
              <w:jc w:val="center"/>
              <w:spacing w:before="40" w:after="40"/>
            </w:pPr>
            <w:r>
              <w:rPr>
                <w:sz w:val="17"/>
                <w:color w:val="222222"/>
              </w:rPr>
              <w:t xml:space="preserve">0.9784</w:t>
            </w:r>
          </w:p>
        </w:tc>
      </w:tr>
    </w:tbl>
    <w:p>
      <w:pPr>
        <w:spacing w:before="60" w:after="60"/>
        <w:jc w:val="center"/>
      </w:pPr>
      <w:r>
        <w:rPr>
          <w:b/>
        </w:rPr>
        <w:t xml:space="preserve">Figure 2. Accuracy and ROC-AUC comparison (each bar is scaled 0?1)</w:t>
      </w:r>
    </w:p>
    <w:tbl>
      <w:tblPr>
        <w:tblW w:w="0" w:type="auto"/>
        <w:tblBorders>
          <w:top w:val="single" w:sz="5" w:color="8093A5"/>
          <w:left w:val="single" w:sz="5" w:color="8093A5"/>
          <w:bottom w:val="single" w:sz="5" w:color="8093A5"/>
          <w:right w:val="single" w:sz="5" w:color="8093A5"/>
          <w:insideH w:val="single" w:sz="5" w:color="8093A5"/>
          <w:insideV w:val="single" w:sz="5" w:color="8093A5"/>
        </w:tblBorders>
      </w:tblPr>
      <w:tr>
        <w:tc>
          <w:tcPr>
            <w:shd w:fill="D9EAF7" w:val="clear"/>
          </w:tcPr>
          <w:p>
            <w:pPr>
              <w:jc w:val="center"/>
              <w:spacing w:before="40" w:after="40"/>
            </w:pPr>
            <w:r>
              <w:rPr>
                <w:b/>
                <w:sz w:val="17"/>
                <w:color w:val="17365D"/>
              </w:rPr>
              <w:t xml:space="preserve">Model</w:t>
            </w:r>
          </w:p>
        </w:tc>
        <w:tc>
          <w:tcPr>
            <w:shd w:fill="D9EAF7" w:val="clear"/>
          </w:tcPr>
          <w:p>
            <w:pPr>
              <w:jc w:val="center"/>
              <w:spacing w:before="40" w:after="40"/>
            </w:pPr>
            <w:r>
              <w:rPr>
                <w:b/>
                <w:sz w:val="17"/>
                <w:color w:val="17365D"/>
              </w:rPr>
              <w:t xml:space="preserve">Accuracy</w:t>
            </w:r>
          </w:p>
        </w:tc>
        <w:tc>
          <w:tcPr>
            <w:shd w:fill="D9EAF7" w:val="clear"/>
          </w:tcPr>
          <w:p>
            <w:pPr>
              <w:jc w:val="center"/>
              <w:spacing w:before="40" w:after="40"/>
            </w:pPr>
            <w:r>
              <w:rPr>
                <w:b/>
                <w:sz w:val="17"/>
                <w:color w:val="17365D"/>
              </w:rPr>
              <w:t xml:space="preserve">ROC-AUC</w:t>
            </w:r>
          </w:p>
        </w:tc>
      </w:tr>
      <w:tr>
        <w:tc>
          <w:tcPr>
            <w:shd w:fill="FFFFFF" w:val="clear"/>
          </w:tcPr>
          <w:p>
            <w:pPr>
              <w:jc w:val="center"/>
              <w:spacing w:before="40" w:after="40"/>
            </w:pPr>
            <w:r>
              <w:rPr>
                <w:sz w:val="17"/>
                <w:color w:val="222222"/>
              </w:rPr>
              <w:t xml:space="preserve">XGBoost</w:t>
            </w:r>
          </w:p>
        </w:tc>
        <w:tc>
          <w:tcPr>
            <w:shd w:fill="FFFFFF" w:val="clear"/>
          </w:tcPr>
          <w:p>
            <w:pPr>
              <w:jc w:val="center"/>
              <w:spacing w:before="40" w:after="40"/>
            </w:pPr>
            <w:r>
              <w:rPr>
                <w:sz w:val="17"/>
                <w:color w:val="222222"/>
              </w:rPr>
              <w:t xml:space="preserve">0.9318  ??????????</w:t>
            </w:r>
          </w:p>
        </w:tc>
        <w:tc>
          <w:tcPr>
            <w:shd w:fill="FFFFFF" w:val="clear"/>
          </w:tcPr>
          <w:p>
            <w:pPr>
              <w:jc w:val="center"/>
              <w:spacing w:before="40" w:after="40"/>
            </w:pPr>
            <w:r>
              <w:rPr>
                <w:sz w:val="17"/>
                <w:color w:val="222222"/>
              </w:rPr>
              <w:t xml:space="preserve">0.9792  ??????????</w:t>
            </w:r>
          </w:p>
        </w:tc>
      </w:tr>
      <w:tr>
        <w:tc>
          <w:tcPr>
            <w:shd w:fill="FFFFFF" w:val="clear"/>
          </w:tcPr>
          <w:p>
            <w:pPr>
              <w:jc w:val="center"/>
              <w:spacing w:before="40" w:after="40"/>
            </w:pPr>
            <w:r>
              <w:rPr>
                <w:sz w:val="17"/>
                <w:color w:val="222222"/>
              </w:rPr>
              <w:t xml:space="preserve">Logistic Regression</w:t>
            </w:r>
          </w:p>
        </w:tc>
        <w:tc>
          <w:tcPr>
            <w:shd w:fill="FFFFFF" w:val="clear"/>
          </w:tcPr>
          <w:p>
            <w:pPr>
              <w:jc w:val="center"/>
              <w:spacing w:before="40" w:after="40"/>
            </w:pPr>
            <w:r>
              <w:rPr>
                <w:sz w:val="17"/>
                <w:color w:val="222222"/>
              </w:rPr>
              <w:t xml:space="preserve">0.9232  ??????????</w:t>
            </w:r>
          </w:p>
        </w:tc>
        <w:tc>
          <w:tcPr>
            <w:shd w:fill="FFFFFF" w:val="clear"/>
          </w:tcPr>
          <w:p>
            <w:pPr>
              <w:jc w:val="center"/>
              <w:spacing w:before="40" w:after="40"/>
            </w:pPr>
            <w:r>
              <w:rPr>
                <w:sz w:val="17"/>
                <w:color w:val="222222"/>
              </w:rPr>
              <w:t xml:space="preserve">0.9712  ??????????</w:t>
            </w:r>
          </w:p>
        </w:tc>
      </w:tr>
      <w:tr>
        <w:tc>
          <w:tcPr>
            <w:shd w:fill="FFFFFF" w:val="clear"/>
          </w:tcPr>
          <w:p>
            <w:pPr>
              <w:jc w:val="center"/>
              <w:spacing w:before="40" w:after="40"/>
            </w:pPr>
            <w:r>
              <w:rPr>
                <w:sz w:val="17"/>
                <w:color w:val="222222"/>
              </w:rPr>
              <w:t xml:space="preserve">Random Forest</w:t>
            </w:r>
          </w:p>
        </w:tc>
        <w:tc>
          <w:tcPr>
            <w:shd w:fill="FFFFFF" w:val="clear"/>
          </w:tcPr>
          <w:p>
            <w:pPr>
              <w:jc w:val="center"/>
              <w:spacing w:before="40" w:after="40"/>
            </w:pPr>
            <w:r>
              <w:rPr>
                <w:sz w:val="17"/>
                <w:color w:val="222222"/>
              </w:rPr>
              <w:t xml:space="preserve">0.9291  ??????????</w:t>
            </w:r>
          </w:p>
        </w:tc>
        <w:tc>
          <w:tcPr>
            <w:shd w:fill="FFFFFF" w:val="clear"/>
          </w:tcPr>
          <w:p>
            <w:pPr>
              <w:jc w:val="center"/>
              <w:spacing w:before="40" w:after="40"/>
            </w:pPr>
            <w:r>
              <w:rPr>
                <w:sz w:val="17"/>
                <w:color w:val="222222"/>
              </w:rPr>
              <w:t xml:space="preserve">0.9732  ??????????</w:t>
            </w:r>
          </w:p>
        </w:tc>
      </w:tr>
      <w:tr>
        <w:tc>
          <w:tcPr>
            <w:shd w:fill="FFFFFF" w:val="clear"/>
          </w:tcPr>
          <w:p>
            <w:pPr>
              <w:jc w:val="center"/>
              <w:spacing w:before="40" w:after="40"/>
            </w:pPr>
            <w:r>
              <w:rPr>
                <w:sz w:val="17"/>
                <w:color w:val="222222"/>
              </w:rPr>
              <w:t xml:space="preserve">Gradient Boosting</w:t>
            </w:r>
          </w:p>
        </w:tc>
        <w:tc>
          <w:tcPr>
            <w:shd w:fill="FFFFFF" w:val="clear"/>
          </w:tcPr>
          <w:p>
            <w:pPr>
              <w:jc w:val="center"/>
              <w:spacing w:before="40" w:after="40"/>
            </w:pPr>
            <w:r>
              <w:rPr>
                <w:sz w:val="17"/>
                <w:color w:val="222222"/>
              </w:rPr>
              <w:t xml:space="preserve">0.9318  ??????????</w:t>
            </w:r>
          </w:p>
        </w:tc>
        <w:tc>
          <w:tcPr>
            <w:shd w:fill="FFFFFF" w:val="clear"/>
          </w:tcPr>
          <w:p>
            <w:pPr>
              <w:jc w:val="center"/>
              <w:spacing w:before="40" w:after="40"/>
            </w:pPr>
            <w:r>
              <w:rPr>
                <w:sz w:val="17"/>
                <w:color w:val="222222"/>
              </w:rPr>
              <w:t xml:space="preserve">0.9784  ??????????</w:t>
            </w:r>
          </w:p>
        </w:tc>
      </w:tr>
    </w:tbl>
    <w:p>
      <w:pPr>
        <w:spacing w:after="100"/>
        <w:ind w:firstLine="200"/>
        <w:jc w:val="both"/>
      </w:pPr>
      <w:r>
        <w:rPr/>
        <w:t xml:space="preserve">The recorded XGBoost confusion matrix is [[1069, 67], [59, 653]] in negative/positive class order. Majority-class baseline accuracy is 0.6147. Results indicate strong discrimination on this split but do not establish calibration, operational lift, or generalization to future campaigns or other institutions. The repository does not provide a quantitative offline evaluation of segment quality or a controlled test of budget gains.</w:t>
      </w:r>
    </w:p>
    <w:p>
      <w:pPr>
        <w:spacing w:before="240" w:after="120"/>
        <w:jc w:val="center"/>
      </w:pPr>
      <w:r>
        <w:rPr>
          <w:b/>
          <w:sz w:val="21"/>
        </w:rPr>
        <w:t xml:space="preserve">VI. DISCUSSION</w:t>
      </w:r>
    </w:p>
    <w:p>
      <w:pPr>
        <w:spacing w:after="100"/>
        <w:ind w:firstLine="200"/>
        <w:jc w:val="both"/>
      </w:pPr>
      <w:r>
        <w:rPr/>
        <w:t xml:space="preserve">Decision-Intel combines predictive and descriptive tools in one application. Its contribution is an integrated workflow through which historical leads can be scored, inspected, summarized by channel, and explored using budget scenarios. Held-out comparisons and shared preprocessing support reproducibility within the current data and code. SHAP allows staff to inspect factors behind individual outputs.</w:t>
      </w:r>
    </w:p>
    <w:p>
      <w:pPr>
        <w:spacing w:after="100"/>
        <w:ind w:firstLine="200"/>
        <w:jc w:val="both"/>
      </w:pPr>
      <w:r>
        <w:rPr/>
        <w:t xml:space="preserve">The ROC-AUC of 0.9792 measures ranking performance on one random held-out split from one dataset. It does not guarantee useful precision at an admissions team?s follow-up capacity or calibrated probabilities. Scores should be assessed alongside campaign timing, workflow capacity, and subgroup performance before guiding resource allocation.</w:t>
      </w:r>
    </w:p>
    <w:p>
      <w:pPr>
        <w:spacing w:before="240" w:after="120"/>
        <w:jc w:val="center"/>
      </w:pPr>
      <w:r>
        <w:rPr>
          <w:b/>
          <w:sz w:val="21"/>
        </w:rPr>
        <w:t xml:space="preserve">VII. LIMITATIONS AND ETHICAL CONSIDERATIONS</w:t>
      </w:r>
    </w:p>
    <w:p>
      <w:pPr>
        <w:spacing w:after="100"/>
        <w:ind w:firstLine="200"/>
        <w:jc w:val="both"/>
      </w:pPr>
      <w:r>
        <w:rPr/>
        <w:t xml:space="preserve">? External validity is limited: no temporal or institution-separated evaluation is reported.</w:t>
      </w:r>
    </w:p>
    <w:p>
      <w:pPr>
        <w:spacing w:after="100"/>
        <w:ind w:firstLine="200"/>
        <w:jc w:val="both"/>
      </w:pPr>
      <w:r>
        <w:rPr/>
        <w:t xml:space="preserve">? Dataset provenance, license, collection dates, consent or lawful basis, and representativeness require verification.</w:t>
      </w:r>
    </w:p>
    <w:p>
      <w:pPr>
        <w:spacing w:after="100"/>
        <w:ind w:firstLine="200"/>
        <w:jc w:val="both"/>
      </w:pPr>
      <w:r>
        <w:rPr/>
        <w:t xml:space="preserve">? Confirm that all predictors are available at scoring time; monitor drift as recruitment practices change.</w:t>
      </w:r>
    </w:p>
    <w:p>
      <w:pPr>
        <w:spacing w:after="100"/>
        <w:ind w:firstLine="200"/>
        <w:jc w:val="both"/>
      </w:pPr>
      <w:r>
        <w:rPr/>
        <w:t xml:space="preserve">? Sensitive or proxy attributes may affect scores; assess subgroup errors and fairness.</w:t>
      </w:r>
    </w:p>
    <w:p>
      <w:pPr>
        <w:spacing w:after="100"/>
        <w:ind w:firstLine="200"/>
        <w:jc w:val="both"/>
      </w:pPr>
      <w:r>
        <w:rPr/>
        <w:t xml:space="preserve">? SHAP indicates model attribution, not causality or intervention effects.</w:t>
      </w:r>
    </w:p>
    <w:p>
      <w:pPr>
        <w:spacing w:after="100"/>
        <w:ind w:firstLine="200"/>
        <w:jc w:val="both"/>
      </w:pPr>
      <w:r>
        <w:rPr/>
        <w:t xml:space="preserve">? Constant-efficiency budget projections do not establish causal returns from reallocation.</w:t>
      </w:r>
    </w:p>
    <w:p>
      <w:pPr>
        <w:spacing w:after="100"/>
        <w:ind w:firstLine="200"/>
        <w:jc w:val="both"/>
      </w:pPr>
      <w:r>
        <w:rPr/>
        <w:t xml:space="preserve">? Keep academic outcome experiments separate from lead conversion.</w:t>
      </w:r>
    </w:p>
    <w:p>
      <w:pPr>
        <w:spacing w:after="100"/>
        <w:ind w:firstLine="200"/>
        <w:jc w:val="both"/>
      </w:pPr>
      <w:r>
        <w:rPr/>
        <w:t xml:space="preserve">? Use scores to support human review; do not automate admission decisions or replace individualized assessment.</w:t>
      </w:r>
    </w:p>
    <w:p>
      <w:pPr>
        <w:spacing w:before="240" w:after="120"/>
        <w:jc w:val="center"/>
      </w:pPr>
      <w:r>
        <w:rPr>
          <w:b/>
          <w:sz w:val="21"/>
        </w:rPr>
        <w:t xml:space="preserve">VIII. CONCLUSION AND FUTURE WORK</w:t>
      </w:r>
    </w:p>
    <w:p>
      <w:pPr>
        <w:spacing w:after="100"/>
        <w:ind w:firstLine="200"/>
        <w:jc w:val="both"/>
      </w:pPr>
      <w:r>
        <w:rPr/>
        <w:t xml:space="preserve">This paper describes Decision-Intel, a web platform for lead-conversion scoring, SHAP explanations, descriptive segmentation, channel analytics, and illustrative budget planning. On the available held-out split, XGBoost recorded 0.9318 accuracy and 0.9792 ROC-AUC. Broader validation is needed. Future work should use time-based and institution-separated splits, assess calibration and thresholds based on staff capacity, evaluate subgroup performance, and measure prospective campaign outcomes. Budget optimization should be described as reinforcement learning only after a defined environment, reward, constraints, and policy are implemented and evaluated against baselines.</w:t>
      </w:r>
    </w:p>
    <w:p>
      <w:pPr>
        <w:spacing w:before="240" w:after="120"/>
        <w:jc w:val="center"/>
      </w:pPr>
      <w:r>
        <w:rPr>
          <w:b/>
          <w:sz w:val="21"/>
        </w:rPr>
        <w:t xml:space="preserve">REFERENCES TO COMPLETE</w:t>
      </w:r>
    </w:p>
    <w:p>
      <w:pPr>
        <w:spacing w:after="100"/>
        <w:ind w:firstLine="200"/>
        <w:jc w:val="both"/>
      </w:pPr>
      <w:r>
        <w:rPr/>
        <w:t xml:space="preserve">[1] Add verified source citation, provenance, and license for Leads X Education.csv.</w:t>
      </w:r>
    </w:p>
    <w:p>
      <w:pPr>
        <w:spacing w:after="100"/>
        <w:ind w:firstLine="200"/>
        <w:jc w:val="both"/>
      </w:pPr>
      <w:r>
        <w:rPr/>
        <w:t xml:space="preserve">[2] Chen, T. and Guestrin, C. (2016). XGBoost: A Scalable Tree Boosting System. KDD. Verify full bibliographic details and DOI.</w:t>
      </w:r>
    </w:p>
    <w:p>
      <w:pPr>
        <w:spacing w:after="100"/>
        <w:ind w:firstLine="200"/>
        <w:jc w:val="both"/>
      </w:pPr>
      <w:r>
        <w:rPr/>
        <w:t xml:space="preserve">[3] Lundberg, S. M. and Lee, S.-I. (2017). A Unified Approach to Interpreting Model Predictions. NeurIPS. Verify bibliographic details.</w:t>
      </w:r>
    </w:p>
    <w:p>
      <w:pPr>
        <w:spacing w:after="100"/>
        <w:ind w:firstLine="200"/>
        <w:jc w:val="both"/>
      </w:pPr>
      <w:r>
        <w:rPr/>
        <w:t xml:space="preserve">[4] Add peer-reviewed studies on student recruitment analytics and responsible predictive models in education.</w:t>
      </w:r>
    </w:p>
    <w:p>
      <w:pPr>
        <w:spacing w:after="100"/>
        <w:ind w:firstLine="200"/>
        <w:jc w:val="both"/>
      </w:pPr>
      <w:r>
        <w:rPr/>
        <w:t xml:space="preserve">[5] Add the original citation for the student outcome dataset if that experiment remains in scope.</w:t>
      </w:r>
    </w:p>
    <w:p>
      <w:pPr>
        <w:spacing w:before="240" w:after="120"/>
        <w:jc w:val="center"/>
      </w:pPr>
      <w:r>
        <w:rPr>
          <w:b/>
          <w:sz w:val="21"/>
        </w:rPr>
        <w:t xml:space="preserve">SUBMISSION CHECKLIST</w:t>
      </w:r>
    </w:p>
    <w:p>
      <w:pPr>
        <w:spacing w:after="100"/>
        <w:ind w:firstLine="200"/>
        <w:jc w:val="both"/>
      </w:pPr>
      <w:r>
        <w:rPr/>
        <w:t xml:space="preserve">? Replace author and institution placeholders.</w:t>
      </w:r>
    </w:p>
    <w:p>
      <w:pPr>
        <w:spacing w:after="100"/>
        <w:ind w:firstLine="200"/>
        <w:jc w:val="both"/>
      </w:pPr>
      <w:r>
        <w:rPr/>
        <w:t xml:space="preserve">? Verify dataset citation, license, context, and evaluation split.</w:t>
      </w:r>
    </w:p>
    <w:p>
      <w:pPr>
        <w:spacing w:after="100"/>
        <w:ind w:firstLine="200"/>
        <w:jc w:val="both"/>
      </w:pPr>
      <w:r>
        <w:rPr/>
        <w:t xml:space="preserve">? Decide whether to retain the distinct academic outcome experiment.</w:t>
      </w:r>
    </w:p>
    <w:p>
      <w:pPr>
        <w:spacing w:after="100"/>
        <w:ind w:firstLine="200"/>
        <w:jc w:val="both"/>
      </w:pPr>
      <w:r>
        <w:rPr/>
        <w:t xml:space="preserve">? Add application screenshots and a system architecture figure caption/source note.</w:t>
      </w:r>
    </w:p>
    <w:p>
      <w:pPr>
        <w:spacing w:after="100"/>
        <w:ind w:firstLine="200"/>
        <w:jc w:val="both"/>
      </w:pPr>
      <w:r>
        <w:rPr/>
        <w:t xml:space="preserve">? Record software versions and artifact creation date.</w:t>
      </w:r>
    </w:p>
    <w:p>
      <w:pPr>
        <w:spacing w:after="100"/>
        <w:ind w:firstLine="200"/>
        <w:jc w:val="both"/>
      </w:pPr>
      <w:r>
        <w:rPr/>
        <w:t xml:space="preserve">? Apply the target journal or conference citation style and length requirements.</w:t>
      </w:r>
    </w:p>
    <w:sectPr w:rsidR="00345FF0">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B00B8"/>
    <w:multiLevelType w:val="hybridMultilevel"/>
    <w:tmpl w:val="77207DEA"/>
    <w:lvl w:ilvl="0" w:tplc="EAB2622C">
      <w:start w:val="1"/>
      <w:numFmt w:val="bullet"/>
      <w:lvlText w:val="●"/>
      <w:lvlJc w:val="left"/>
      <w:pPr>
        <w:ind w:left="720" w:hanging="360"/>
      </w:pPr>
    </w:lvl>
    <w:lvl w:ilvl="1" w:tplc="B8DA18CA">
      <w:start w:val="1"/>
      <w:numFmt w:val="bullet"/>
      <w:lvlText w:val="○"/>
      <w:lvlJc w:val="left"/>
      <w:pPr>
        <w:ind w:left="1440" w:hanging="360"/>
      </w:pPr>
    </w:lvl>
    <w:lvl w:ilvl="2" w:tplc="3D14B8FC">
      <w:start w:val="1"/>
      <w:numFmt w:val="bullet"/>
      <w:lvlText w:val="■"/>
      <w:lvlJc w:val="left"/>
      <w:pPr>
        <w:ind w:left="2160" w:hanging="360"/>
      </w:pPr>
    </w:lvl>
    <w:lvl w:ilvl="3" w:tplc="0F2EC9F4">
      <w:start w:val="1"/>
      <w:numFmt w:val="bullet"/>
      <w:lvlText w:val="●"/>
      <w:lvlJc w:val="left"/>
      <w:pPr>
        <w:ind w:left="2880" w:hanging="360"/>
      </w:pPr>
    </w:lvl>
    <w:lvl w:ilvl="4" w:tplc="0AB64CF6">
      <w:start w:val="1"/>
      <w:numFmt w:val="bullet"/>
      <w:lvlText w:val="○"/>
      <w:lvlJc w:val="left"/>
      <w:pPr>
        <w:ind w:left="3600" w:hanging="360"/>
      </w:pPr>
    </w:lvl>
    <w:lvl w:ilvl="5" w:tplc="125CBA1A">
      <w:start w:val="1"/>
      <w:numFmt w:val="bullet"/>
      <w:lvlText w:val="■"/>
      <w:lvlJc w:val="left"/>
      <w:pPr>
        <w:ind w:left="4320" w:hanging="360"/>
      </w:pPr>
    </w:lvl>
    <w:lvl w:ilvl="6" w:tplc="F062886C">
      <w:start w:val="1"/>
      <w:numFmt w:val="bullet"/>
      <w:lvlText w:val="●"/>
      <w:lvlJc w:val="left"/>
      <w:pPr>
        <w:ind w:left="5040" w:hanging="360"/>
      </w:pPr>
    </w:lvl>
    <w:lvl w:ilvl="7" w:tplc="11C8A352">
      <w:start w:val="1"/>
      <w:numFmt w:val="bullet"/>
      <w:lvlText w:val="●"/>
      <w:lvlJc w:val="left"/>
      <w:pPr>
        <w:ind w:left="5760" w:hanging="360"/>
      </w:pPr>
    </w:lvl>
    <w:lvl w:ilvl="8" w:tplc="080E742A">
      <w:start w:val="1"/>
      <w:numFmt w:val="bullet"/>
      <w:lvlText w:val="●"/>
      <w:lvlJc w:val="left"/>
      <w:pPr>
        <w:ind w:left="6480" w:hanging="360"/>
      </w:pPr>
    </w:lvl>
  </w:abstractNum>
  <w:num w:numId="1" w16cid:durableId="17280660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FF0"/>
    <w:rsid w:val="000A7E62"/>
    <w:rsid w:val="001D384C"/>
    <w:rsid w:val="002B1BAF"/>
    <w:rsid w:val="002B7B24"/>
    <w:rsid w:val="002F53DA"/>
    <w:rsid w:val="00345FF0"/>
    <w:rsid w:val="00364218"/>
    <w:rsid w:val="003A77BF"/>
    <w:rsid w:val="003E6979"/>
    <w:rsid w:val="003F2E6D"/>
    <w:rsid w:val="00445A19"/>
    <w:rsid w:val="0055535D"/>
    <w:rsid w:val="00605880"/>
    <w:rsid w:val="00637B9D"/>
    <w:rsid w:val="00646758"/>
    <w:rsid w:val="007734D0"/>
    <w:rsid w:val="007A63D6"/>
    <w:rsid w:val="007C0BBA"/>
    <w:rsid w:val="007D6AC1"/>
    <w:rsid w:val="007F3B19"/>
    <w:rsid w:val="00842BBD"/>
    <w:rsid w:val="00844340"/>
    <w:rsid w:val="00896001"/>
    <w:rsid w:val="008C6FD9"/>
    <w:rsid w:val="008F748A"/>
    <w:rsid w:val="009F38C6"/>
    <w:rsid w:val="00A0637D"/>
    <w:rsid w:val="00A26486"/>
    <w:rsid w:val="00AD15AE"/>
    <w:rsid w:val="00B46480"/>
    <w:rsid w:val="00B50CAA"/>
    <w:rsid w:val="00C06769"/>
    <w:rsid w:val="00C30171"/>
    <w:rsid w:val="00C6540E"/>
    <w:rsid w:val="00C86BD1"/>
    <w:rsid w:val="00C92492"/>
    <w:rsid w:val="00CE32A8"/>
    <w:rsid w:val="00CF0004"/>
    <w:rsid w:val="00D06C1F"/>
    <w:rsid w:val="00D17D96"/>
    <w:rsid w:val="00D77CA6"/>
    <w:rsid w:val="00EE66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00429"/>
  <w15:docId w15:val="{49C589E3-C28C-4D04-BF6E-C00D2C99E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C6540E"/>
    <w:rPr>
      <w:rFonts w:ascii="Aptos" w:hAnsi="Aptos"/>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ruba.25cap@sonatech.ac.in"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7</Pages>
  <Words>4124</Words>
  <Characters>23508</Characters>
  <Application>Microsoft Office Word</Application>
  <DocSecurity>0</DocSecurity>
  <Lines>195</Lines>
  <Paragraphs>55</Paragraphs>
  <ScaleCrop>false</ScaleCrop>
  <Company/>
  <LinksUpToDate>false</LinksUpToDate>
  <CharactersWithSpaces>27577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pavithra j</cp:lastModifiedBy>
  <cp:revision>38</cp:revision>
  <dcterms:created xsi:type="dcterms:W3CDTF">2026-09-23T22:02:00Z</dcterms:created>
  <dcterms:modified xsi:type="dcterms:W3CDTF">2026-09-24T06:35:00Z</dcterms:modified>
</cp:coreProperties>
</file>