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e186863e-7fff-7806-9b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Phase-II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Requirements (Functional &amp; Non-functional)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59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97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31 January 2025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Functional Requirements: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Following are the functional requirements of the proposed solution.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030"/>
        <w:gridCol w:w="3233"/>
        <w:gridCol w:w="5375"/>
      </w:tblGrid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 No.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Functional Requirement (Epic)</w:t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Sub Requirement (Story / Sub-Task)</w:t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FR-1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User Registration</w:t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Registration through Form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Registration through Gmail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Registration through LinkedIN</w:t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FR-2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User Confirmation</w:t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Confirmation via Email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Confirmation via OTP</w:t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FR-3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FR-4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Non-functional Requirements: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Following are the non-functional requirements of the proposed solution.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030"/>
        <w:gridCol w:w="3547"/>
        <w:gridCol w:w="5061"/>
      </w:tblGrid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FR No.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Non-Functional Requirement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NFR-1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Usability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NFR-2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Security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NFR-3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Reliability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NFR-4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Performance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NFR-5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Availability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NFR-6</w:t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Scalability</w:t>
            </w:r>
          </w:p>
        </w:tc>
        <w:tc>
          <w:tcPr>
            <w:tcW w:w="5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99</Words>
  <Characters>703</Characters>
  <CharactersWithSpaces>761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2026-09-30T18:53:26Z</dcterms:created>
  <dc:creator/>
  <dc:description/>
  <dc:language>en-IN</dc:language>
  <cp:lastModifiedBy/>
  <dcterms:modified xsi:type="dcterms:W3CDTF">2026-09-30T18:56:23Z</dcterms:modified>
  <cp:revision>1</cp:revision>
  <dc:subject/>
  <dc:title/>
</cp:coreProperties>
</file>