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320"/>
        <w:jc w:val="left"/>
      </w:pPr>
      <w:r>
        <w:rPr>
          <w:color w:val="C9A96E"/>
          <w:sz w:val="28"/>
        </w:rPr>
        <w:t>────────────────────────────────────────</w:t>
      </w:r>
    </w:p>
    <w:p>
      <w:pPr>
        <w:spacing w:after="400"/>
        <w:jc w:val="left"/>
      </w:pPr>
      <w:r>
        <w:rPr>
          <w:rFonts w:ascii="Calibri" w:hAnsi="Calibri"/>
          <w:b/>
          <w:caps/>
          <w:color w:val="C9A96E"/>
          <w:sz w:val="20"/>
        </w:rPr>
        <w:t>CONFIDENTIAL</w:t>
      </w:r>
    </w:p>
    <w:p>
      <w:pPr>
        <w:spacing w:after="160"/>
        <w:jc w:val="left"/>
      </w:pPr>
      <w:r>
        <w:rPr>
          <w:rFonts w:ascii="Calibri Light" w:hAnsi="Calibri Light"/>
          <w:b/>
          <w:color w:val="1B2A4A"/>
          <w:sz w:val="64"/>
        </w:rPr>
        <w:t>UI/UX Design Reference Guide</w:t>
      </w:r>
    </w:p>
    <w:p>
      <w:pPr>
        <w:spacing w:after="480"/>
        <w:jc w:val="left"/>
      </w:pPr>
      <w:r>
        <w:rPr>
          <w:rFonts w:ascii="Calibri Light" w:hAnsi="Calibri Light"/>
          <w:color w:val="6C757D"/>
          <w:sz w:val="30"/>
        </w:rPr>
        <w:t>Design System &amp; Interface Specifications</w:t>
      </w:r>
    </w:p>
    <w:p>
      <w:pPr>
        <w:spacing w:after="600"/>
        <w:jc w:val="left"/>
      </w:pPr>
      <w:r>
        <w:rPr>
          <w:color w:val="C9A96E"/>
          <w:sz w:val="28"/>
        </w:rPr>
        <w:t>────────────────────────────────────────</w:t>
      </w:r>
    </w:p>
    <w:p>
      <w:pPr>
        <w:spacing w:after="40" w:before="0"/>
        <w:jc w:val="left"/>
      </w:pPr>
      <w:r>
        <w:rPr>
          <w:rFonts w:ascii="Calibri" w:hAnsi="Calibri"/>
          <w:b w:val="0"/>
          <w:color w:val="6C757D"/>
          <w:sz w:val="22"/>
        </w:rPr>
        <w:t xml:space="preserve">Client:  </w:t>
      </w:r>
      <w:r>
        <w:rPr>
          <w:rFonts w:ascii="Calibri" w:hAnsi="Calibri"/>
          <w:b/>
          <w:color w:val="2C3E50"/>
          <w:sz w:val="22"/>
        </w:rPr>
        <w:t>Knowith Capital</w:t>
      </w:r>
    </w:p>
    <w:p>
      <w:pPr>
        <w:spacing w:after="40" w:before="0"/>
        <w:jc w:val="left"/>
      </w:pPr>
      <w:r>
        <w:rPr>
          <w:rFonts w:ascii="Calibri" w:hAnsi="Calibri"/>
          <w:b w:val="0"/>
          <w:color w:val="6C757D"/>
          <w:sz w:val="22"/>
        </w:rPr>
        <w:t xml:space="preserve">Project:  </w:t>
      </w:r>
      <w:r>
        <w:rPr>
          <w:rFonts w:ascii="Calibri" w:hAnsi="Calibri"/>
          <w:b/>
          <w:color w:val="2C3E50"/>
          <w:sz w:val="22"/>
        </w:rPr>
        <w:t>Premium Website Design &amp; Development</w:t>
      </w:r>
    </w:p>
    <w:p>
      <w:pPr>
        <w:spacing w:after="40" w:before="0"/>
        <w:jc w:val="left"/>
      </w:pPr>
      <w:r>
        <w:rPr>
          <w:rFonts w:ascii="Calibri" w:hAnsi="Calibri"/>
          <w:b w:val="0"/>
          <w:color w:val="6C757D"/>
          <w:sz w:val="22"/>
        </w:rPr>
        <w:t xml:space="preserve">Phase:  </w:t>
      </w:r>
      <w:r>
        <w:rPr>
          <w:rFonts w:ascii="Calibri" w:hAnsi="Calibri"/>
          <w:b/>
          <w:color w:val="2C3E50"/>
          <w:sz w:val="22"/>
        </w:rPr>
        <w:t>Phase 01 — Website</w:t>
      </w:r>
    </w:p>
    <w:p>
      <w:pPr>
        <w:spacing w:after="40" w:before="0"/>
        <w:jc w:val="left"/>
      </w:pPr>
      <w:r>
        <w:rPr>
          <w:rFonts w:ascii="Calibri" w:hAnsi="Calibri"/>
          <w:b w:val="0"/>
          <w:color w:val="6C757D"/>
          <w:sz w:val="22"/>
        </w:rPr>
        <w:t xml:space="preserve">Prepared By:  </w:t>
      </w:r>
      <w:r>
        <w:rPr>
          <w:rFonts w:ascii="Calibri" w:hAnsi="Calibri"/>
          <w:b/>
          <w:color w:val="2C3E50"/>
          <w:sz w:val="22"/>
        </w:rPr>
        <w:t>Strategy &amp; Technology Consulting Division</w:t>
      </w:r>
    </w:p>
    <w:p>
      <w:pPr>
        <w:spacing w:after="40" w:before="0"/>
        <w:jc w:val="left"/>
      </w:pPr>
      <w:r>
        <w:rPr>
          <w:rFonts w:ascii="Calibri" w:hAnsi="Calibri"/>
          <w:b w:val="0"/>
          <w:color w:val="6C757D"/>
          <w:sz w:val="22"/>
        </w:rPr>
        <w:t xml:space="preserve">Version:  </w:t>
      </w:r>
      <w:r>
        <w:rPr>
          <w:rFonts w:ascii="Calibri" w:hAnsi="Calibri"/>
          <w:b/>
          <w:color w:val="2C3E50"/>
          <w:sz w:val="22"/>
        </w:rPr>
        <w:t>1.0</w:t>
      </w:r>
    </w:p>
    <w:p>
      <w:pPr>
        <w:spacing w:after="40" w:before="0"/>
        <w:jc w:val="left"/>
      </w:pPr>
      <w:r>
        <w:rPr>
          <w:rFonts w:ascii="Calibri" w:hAnsi="Calibri"/>
          <w:b w:val="0"/>
          <w:color w:val="6C757D"/>
          <w:sz w:val="22"/>
        </w:rPr>
        <w:t xml:space="preserve">Status:  </w:t>
      </w:r>
      <w:r>
        <w:rPr>
          <w:rFonts w:ascii="Calibri" w:hAnsi="Calibri"/>
          <w:b/>
          <w:color w:val="2C3E50"/>
          <w:sz w:val="22"/>
        </w:rPr>
        <w:t>Final Draft</w:t>
      </w:r>
    </w:p>
    <w:p>
      <w:pPr>
        <w:spacing w:after="40" w:before="0"/>
        <w:jc w:val="left"/>
      </w:pPr>
      <w:r>
        <w:rPr>
          <w:rFonts w:ascii="Calibri" w:hAnsi="Calibri"/>
          <w:b w:val="0"/>
          <w:color w:val="6C757D"/>
          <w:sz w:val="22"/>
        </w:rPr>
        <w:t xml:space="preserve">Date:  </w:t>
      </w:r>
      <w:r>
        <w:rPr>
          <w:rFonts w:ascii="Calibri" w:hAnsi="Calibri"/>
          <w:b/>
          <w:color w:val="2C3E50"/>
          <w:sz w:val="22"/>
        </w:rPr>
        <w:t>July 24, 2026</w:t>
      </w:r>
    </w:p>
    <w:p>
      <w:pPr>
        <w:spacing w:after="400"/>
      </w:pPr>
    </w:p>
    <w:p>
      <w:pPr>
        <w:spacing w:before="240"/>
        <w:jc w:val="left"/>
      </w:pPr>
      <w:r>
        <w:rPr>
          <w:rFonts w:ascii="Calibri" w:hAnsi="Calibri"/>
          <w:b/>
          <w:color w:val="1B2A4A"/>
          <w:sz w:val="18"/>
        </w:rPr>
        <w:t>Confidentiality Notice</w:t>
      </w:r>
    </w:p>
    <w:p>
      <w:pPr>
        <w:jc w:val="both"/>
      </w:pPr>
      <w:r>
        <w:rPr>
          <w:rFonts w:ascii="Calibri" w:hAnsi="Calibri"/>
          <w:i/>
          <w:color w:val="6C757D"/>
          <w:sz w:val="17"/>
        </w:rPr>
        <w:t>This document contains confidential and proprietary information belonging to Knowith Capital. It is intended solely for the use of the individual or entity to whom it is addressed. Any unauthorized review, use, disclosure, or distribution is prohibited. If you are not the intended recipient, please contact the sender immediately and destroy all copies of the original document. This document must not be reproduced, in whole or in part, without the express written consent of Knowith Capital.</w:t>
      </w:r>
    </w:p>
    <w:p>
      <w:r>
        <w:br w:type="page"/>
      </w:r>
    </w:p>
    <w:p>
      <w:pPr>
        <w:pStyle w:val="Heading1"/>
      </w:pPr>
      <w:r>
        <w:t>Version History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85"/>
        <w:gridCol w:w="2185"/>
        <w:gridCol w:w="2185"/>
        <w:gridCol w:w="2185"/>
      </w:tblGrid>
      <w:tr>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Version</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Date</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Author</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Description</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t>1.0</w:t>
            </w:r>
          </w:p>
        </w:tc>
        <w:tc>
          <w:tcPr>
            <w:tcW w:type="dxa" w:w="2185"/>
            <w:vAlign w:val="center"/>
            <w:tcMar>
              <w:top w:w="60" w:type="dxa"/>
              <w:bottom w:w="60" w:type="dxa"/>
              <w:start w:w="80" w:type="dxa"/>
              <w:end w:w="80" w:type="dxa"/>
            </w:tcMar>
          </w:tcPr>
          <w:p>
            <w:pPr>
              <w:jc w:val="left"/>
            </w:pPr>
            <w:r/>
            <w:r>
              <w:rPr>
                <w:rFonts w:ascii="Calibri" w:hAnsi="Calibri"/>
                <w:color w:val="343A40"/>
                <w:sz w:val="18"/>
              </w:rPr>
              <w:t>July 24, 2026</w:t>
            </w:r>
          </w:p>
        </w:tc>
        <w:tc>
          <w:tcPr>
            <w:tcW w:type="dxa" w:w="2185"/>
            <w:vAlign w:val="center"/>
            <w:tcMar>
              <w:top w:w="60" w:type="dxa"/>
              <w:bottom w:w="60" w:type="dxa"/>
              <w:start w:w="80" w:type="dxa"/>
              <w:end w:w="80" w:type="dxa"/>
            </w:tcMar>
          </w:tcPr>
          <w:p>
            <w:pPr>
              <w:jc w:val="left"/>
            </w:pPr>
            <w:r/>
            <w:r>
              <w:rPr>
                <w:rFonts w:ascii="Calibri" w:hAnsi="Calibri"/>
                <w:color w:val="343A40"/>
                <w:sz w:val="18"/>
              </w:rPr>
              <w:t>Strategy &amp; Technology Consulting Division</w:t>
            </w:r>
          </w:p>
        </w:tc>
        <w:tc>
          <w:tcPr>
            <w:tcW w:type="dxa" w:w="2185"/>
            <w:vAlign w:val="center"/>
            <w:tcMar>
              <w:top w:w="60" w:type="dxa"/>
              <w:bottom w:w="60" w:type="dxa"/>
              <w:start w:w="80" w:type="dxa"/>
              <w:end w:w="80" w:type="dxa"/>
            </w:tcMar>
          </w:tcPr>
          <w:p>
            <w:pPr>
              <w:jc w:val="left"/>
            </w:pPr>
            <w:r/>
            <w:r>
              <w:rPr>
                <w:rFonts w:ascii="Calibri" w:hAnsi="Calibri"/>
                <w:color w:val="343A40"/>
                <w:sz w:val="18"/>
              </w:rPr>
              <w:t>Initial design system formulation — Final Draft</w:t>
            </w:r>
          </w:p>
        </w:tc>
      </w:tr>
    </w:tbl>
    <w:p>
      <w:pPr>
        <w:spacing w:after="80"/>
      </w:pPr>
    </w:p>
    <w:p>
      <w:r>
        <w:br w:type="page"/>
      </w:r>
    </w:p>
    <w:p>
      <w:pPr>
        <w:pStyle w:val="Heading1"/>
      </w:pPr>
      <w:r>
        <w:t>Document Control</w:t>
      </w:r>
    </w:p>
    <w:p>
      <w:pPr>
        <w:pStyle w:val="Heading2"/>
      </w:pPr>
      <w:r>
        <w:t>Document Information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3168"/>
            <w:shd w:fill="F8F9FA" w:val="clear"/>
            <w:tcMar>
              <w:top w:w="60" w:type="dxa"/>
              <w:bottom w:w="60" w:type="dxa"/>
              <w:start w:w="80" w:type="dxa"/>
              <w:end w:w="80" w:type="dxa"/>
            </w:tcMar>
          </w:tcPr>
          <w:p>
            <w:r/>
            <w:r>
              <w:rPr>
                <w:rFonts w:ascii="Calibri" w:hAnsi="Calibri"/>
                <w:b/>
                <w:color w:val="1B2A4A"/>
                <w:sz w:val="18"/>
              </w:rPr>
              <w:t>Document Title</w:t>
            </w:r>
          </w:p>
        </w:tc>
        <w:tc>
          <w:tcPr>
            <w:tcW w:type="dxa" w:w="5760"/>
            <w:tcMar>
              <w:top w:w="60" w:type="dxa"/>
              <w:bottom w:w="60" w:type="dxa"/>
              <w:start w:w="80" w:type="dxa"/>
              <w:end w:w="80" w:type="dxa"/>
            </w:tcMar>
          </w:tcPr>
          <w:p>
            <w:r/>
            <w:r>
              <w:rPr>
                <w:rFonts w:ascii="Calibri" w:hAnsi="Calibri"/>
                <w:color w:val="343A40"/>
                <w:sz w:val="18"/>
              </w:rPr>
            </w:r>
          </w:p>
        </w:tc>
      </w:tr>
      <w:tr>
        <w:tc>
          <w:tcPr>
            <w:tcW w:type="dxa" w:w="3168"/>
            <w:shd w:fill="F8F9FA" w:val="clear"/>
            <w:tcMar>
              <w:top w:w="60" w:type="dxa"/>
              <w:bottom w:w="60" w:type="dxa"/>
              <w:start w:w="80" w:type="dxa"/>
              <w:end w:w="80" w:type="dxa"/>
            </w:tcMar>
          </w:tcPr>
          <w:p>
            <w:r/>
            <w:r>
              <w:rPr>
                <w:rFonts w:ascii="Calibri" w:hAnsi="Calibri"/>
                <w:b/>
                <w:color w:val="1B2A4A"/>
                <w:sz w:val="18"/>
              </w:rPr>
              <w:t>Document Reference</w:t>
            </w:r>
          </w:p>
        </w:tc>
        <w:tc>
          <w:tcPr>
            <w:tcW w:type="dxa" w:w="5760"/>
            <w:tcMar>
              <w:top w:w="60" w:type="dxa"/>
              <w:bottom w:w="60" w:type="dxa"/>
              <w:start w:w="80" w:type="dxa"/>
              <w:end w:w="80" w:type="dxa"/>
            </w:tcMar>
          </w:tcPr>
          <w:p>
            <w:r/>
            <w:r>
              <w:rPr>
                <w:rFonts w:ascii="Calibri" w:hAnsi="Calibri"/>
                <w:color w:val="343A40"/>
                <w:sz w:val="18"/>
              </w:rPr>
            </w:r>
          </w:p>
        </w:tc>
      </w:tr>
      <w:tr>
        <w:tc>
          <w:tcPr>
            <w:tcW w:type="dxa" w:w="3168"/>
            <w:shd w:fill="F8F9FA" w:val="clear"/>
            <w:tcMar>
              <w:top w:w="60" w:type="dxa"/>
              <w:bottom w:w="60" w:type="dxa"/>
              <w:start w:w="80" w:type="dxa"/>
              <w:end w:w="80" w:type="dxa"/>
            </w:tcMar>
          </w:tcPr>
          <w:p>
            <w:r/>
            <w:r>
              <w:rPr>
                <w:rFonts w:ascii="Calibri" w:hAnsi="Calibri"/>
                <w:b/>
                <w:color w:val="1B2A4A"/>
                <w:sz w:val="18"/>
              </w:rPr>
              <w:t>Version</w:t>
            </w:r>
          </w:p>
        </w:tc>
        <w:tc>
          <w:tcPr>
            <w:tcW w:type="dxa" w:w="5760"/>
            <w:tcMar>
              <w:top w:w="60" w:type="dxa"/>
              <w:bottom w:w="60" w:type="dxa"/>
              <w:start w:w="80" w:type="dxa"/>
              <w:end w:w="80" w:type="dxa"/>
            </w:tcMar>
          </w:tcPr>
          <w:p>
            <w:r/>
            <w:r>
              <w:rPr>
                <w:rFonts w:ascii="Calibri" w:hAnsi="Calibri"/>
                <w:color w:val="343A40"/>
                <w:sz w:val="18"/>
              </w:rPr>
              <w:t>1.0</w:t>
            </w:r>
          </w:p>
        </w:tc>
      </w:tr>
      <w:tr>
        <w:tc>
          <w:tcPr>
            <w:tcW w:type="dxa" w:w="3168"/>
            <w:shd w:fill="F8F9FA" w:val="clear"/>
            <w:tcMar>
              <w:top w:w="60" w:type="dxa"/>
              <w:bottom w:w="60" w:type="dxa"/>
              <w:start w:w="80" w:type="dxa"/>
              <w:end w:w="80" w:type="dxa"/>
            </w:tcMar>
          </w:tcPr>
          <w:p>
            <w:r/>
            <w:r>
              <w:rPr>
                <w:rFonts w:ascii="Calibri" w:hAnsi="Calibri"/>
                <w:b/>
                <w:color w:val="1B2A4A"/>
                <w:sz w:val="18"/>
              </w:rPr>
              <w:t>Status</w:t>
            </w:r>
          </w:p>
        </w:tc>
        <w:tc>
          <w:tcPr>
            <w:tcW w:type="dxa" w:w="5760"/>
            <w:tcMar>
              <w:top w:w="60" w:type="dxa"/>
              <w:bottom w:w="60" w:type="dxa"/>
              <w:start w:w="80" w:type="dxa"/>
              <w:end w:w="80" w:type="dxa"/>
            </w:tcMar>
          </w:tcPr>
          <w:p>
            <w:r/>
            <w:r>
              <w:rPr>
                <w:rFonts w:ascii="Calibri" w:hAnsi="Calibri"/>
                <w:color w:val="343A40"/>
                <w:sz w:val="18"/>
              </w:rPr>
              <w:t>Final Draft</w:t>
            </w:r>
          </w:p>
        </w:tc>
      </w:tr>
      <w:tr>
        <w:tc>
          <w:tcPr>
            <w:tcW w:type="dxa" w:w="3168"/>
            <w:shd w:fill="F8F9FA" w:val="clear"/>
            <w:tcMar>
              <w:top w:w="60" w:type="dxa"/>
              <w:bottom w:w="60" w:type="dxa"/>
              <w:start w:w="80" w:type="dxa"/>
              <w:end w:w="80" w:type="dxa"/>
            </w:tcMar>
          </w:tcPr>
          <w:p>
            <w:r/>
            <w:r>
              <w:rPr>
                <w:rFonts w:ascii="Calibri" w:hAnsi="Calibri"/>
                <w:b/>
                <w:color w:val="1B2A4A"/>
                <w:sz w:val="18"/>
              </w:rPr>
              <w:t>Classification</w:t>
            </w:r>
          </w:p>
        </w:tc>
        <w:tc>
          <w:tcPr>
            <w:tcW w:type="dxa" w:w="5760"/>
            <w:tcMar>
              <w:top w:w="60" w:type="dxa"/>
              <w:bottom w:w="60" w:type="dxa"/>
              <w:start w:w="80" w:type="dxa"/>
              <w:end w:w="80" w:type="dxa"/>
            </w:tcMar>
          </w:tcPr>
          <w:p>
            <w:r/>
            <w:r>
              <w:rPr>
                <w:rFonts w:ascii="Calibri" w:hAnsi="Calibri"/>
                <w:color w:val="343A40"/>
                <w:sz w:val="18"/>
              </w:rPr>
              <w:t>CONFIDENTIAL</w:t>
            </w:r>
          </w:p>
        </w:tc>
      </w:tr>
      <w:tr>
        <w:tc>
          <w:tcPr>
            <w:tcW w:type="dxa" w:w="3168"/>
            <w:shd w:fill="F8F9FA" w:val="clear"/>
            <w:tcMar>
              <w:top w:w="60" w:type="dxa"/>
              <w:bottom w:w="60" w:type="dxa"/>
              <w:start w:w="80" w:type="dxa"/>
              <w:end w:w="80" w:type="dxa"/>
            </w:tcMar>
          </w:tcPr>
          <w:p>
            <w:r/>
            <w:r>
              <w:rPr>
                <w:rFonts w:ascii="Calibri" w:hAnsi="Calibri"/>
                <w:b/>
                <w:color w:val="1B2A4A"/>
                <w:sz w:val="18"/>
              </w:rPr>
              <w:t>Date</w:t>
            </w:r>
          </w:p>
        </w:tc>
        <w:tc>
          <w:tcPr>
            <w:tcW w:type="dxa" w:w="5760"/>
            <w:tcMar>
              <w:top w:w="60" w:type="dxa"/>
              <w:bottom w:w="60" w:type="dxa"/>
              <w:start w:w="80" w:type="dxa"/>
              <w:end w:w="80" w:type="dxa"/>
            </w:tcMar>
          </w:tcPr>
          <w:p>
            <w:r/>
            <w:r>
              <w:rPr>
                <w:rFonts w:ascii="Calibri" w:hAnsi="Calibri"/>
                <w:color w:val="343A40"/>
                <w:sz w:val="18"/>
              </w:rPr>
              <w:t>July 24, 2026</w:t>
            </w:r>
          </w:p>
        </w:tc>
      </w:tr>
      <w:tr>
        <w:tc>
          <w:tcPr>
            <w:tcW w:type="dxa" w:w="3168"/>
            <w:shd w:fill="F8F9FA" w:val="clear"/>
            <w:tcMar>
              <w:top w:w="60" w:type="dxa"/>
              <w:bottom w:w="60" w:type="dxa"/>
              <w:start w:w="80" w:type="dxa"/>
              <w:end w:w="80" w:type="dxa"/>
            </w:tcMar>
          </w:tcPr>
          <w:p>
            <w:r/>
            <w:r>
              <w:rPr>
                <w:rFonts w:ascii="Calibri" w:hAnsi="Calibri"/>
                <w:b/>
                <w:color w:val="1B2A4A"/>
                <w:sz w:val="18"/>
              </w:rPr>
              <w:t>Client</w:t>
            </w:r>
          </w:p>
        </w:tc>
        <w:tc>
          <w:tcPr>
            <w:tcW w:type="dxa" w:w="5760"/>
            <w:tcMar>
              <w:top w:w="60" w:type="dxa"/>
              <w:bottom w:w="60" w:type="dxa"/>
              <w:start w:w="80" w:type="dxa"/>
              <w:end w:w="80" w:type="dxa"/>
            </w:tcMar>
          </w:tcPr>
          <w:p>
            <w:r/>
            <w:r>
              <w:rPr>
                <w:rFonts w:ascii="Calibri" w:hAnsi="Calibri"/>
                <w:color w:val="343A40"/>
                <w:sz w:val="18"/>
              </w:rPr>
              <w:t>Knowith Capital</w:t>
            </w:r>
          </w:p>
        </w:tc>
      </w:tr>
      <w:tr>
        <w:tc>
          <w:tcPr>
            <w:tcW w:type="dxa" w:w="3168"/>
            <w:shd w:fill="F8F9FA" w:val="clear"/>
            <w:tcMar>
              <w:top w:w="60" w:type="dxa"/>
              <w:bottom w:w="60" w:type="dxa"/>
              <w:start w:w="80" w:type="dxa"/>
              <w:end w:w="80" w:type="dxa"/>
            </w:tcMar>
          </w:tcPr>
          <w:p>
            <w:r/>
            <w:r>
              <w:rPr>
                <w:rFonts w:ascii="Calibri" w:hAnsi="Calibri"/>
                <w:b/>
                <w:color w:val="1B2A4A"/>
                <w:sz w:val="18"/>
              </w:rPr>
              <w:t>Prepared By</w:t>
            </w:r>
          </w:p>
        </w:tc>
        <w:tc>
          <w:tcPr>
            <w:tcW w:type="dxa" w:w="5760"/>
            <w:tcMar>
              <w:top w:w="60" w:type="dxa"/>
              <w:bottom w:w="60" w:type="dxa"/>
              <w:start w:w="80" w:type="dxa"/>
              <w:end w:w="80" w:type="dxa"/>
            </w:tcMar>
          </w:tcPr>
          <w:p>
            <w:r/>
            <w:r>
              <w:rPr>
                <w:rFonts w:ascii="Calibri" w:hAnsi="Calibri"/>
                <w:color w:val="343A40"/>
                <w:sz w:val="18"/>
              </w:rPr>
              <w:t>Strategy &amp; Technology Consulting Division</w:t>
            </w:r>
          </w:p>
        </w:tc>
      </w:tr>
    </w:tbl>
    <w:p>
      <w:pPr>
        <w:spacing w:after="80"/>
      </w:pPr>
    </w:p>
    <w:p>
      <w:pPr>
        <w:pStyle w:val="Heading2"/>
      </w:pPr>
      <w:r>
        <w:t>Approval Matrix</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85"/>
        <w:gridCol w:w="2185"/>
        <w:gridCol w:w="2185"/>
        <w:gridCol w:w="2185"/>
      </w:tblGrid>
      <w:tr>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Role</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Name</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Signature</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Date</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t>Document Author</w:t>
            </w:r>
          </w:p>
        </w:tc>
        <w:tc>
          <w:tcPr>
            <w:tcW w:type="dxa" w:w="2185"/>
            <w:vAlign w:val="center"/>
            <w:tcMar>
              <w:top w:w="60" w:type="dxa"/>
              <w:bottom w:w="60" w:type="dxa"/>
              <w:start w:w="80" w:type="dxa"/>
              <w:end w:w="80" w:type="dxa"/>
            </w:tcMar>
          </w:tcPr>
          <w:p>
            <w:pPr>
              <w:jc w:val="left"/>
            </w:pPr>
            <w:r/>
            <w:r>
              <w:rPr>
                <w:rFonts w:ascii="Calibri" w:hAnsi="Calibri"/>
                <w:color w:val="343A40"/>
                <w:sz w:val="18"/>
              </w:rPr>
            </w:r>
          </w:p>
        </w:tc>
        <w:tc>
          <w:tcPr>
            <w:tcW w:type="dxa" w:w="2185"/>
            <w:vAlign w:val="center"/>
            <w:tcMar>
              <w:top w:w="60" w:type="dxa"/>
              <w:bottom w:w="60" w:type="dxa"/>
              <w:start w:w="80" w:type="dxa"/>
              <w:end w:w="80" w:type="dxa"/>
            </w:tcMar>
          </w:tcPr>
          <w:p>
            <w:pPr>
              <w:jc w:val="left"/>
            </w:pPr>
            <w:r/>
            <w:r>
              <w:rPr>
                <w:rFonts w:ascii="Calibri" w:hAnsi="Calibri"/>
                <w:color w:val="343A40"/>
                <w:sz w:val="18"/>
              </w:rPr>
            </w:r>
          </w:p>
        </w:tc>
        <w:tc>
          <w:tcPr>
            <w:tcW w:type="dxa" w:w="2185"/>
            <w:vAlign w:val="center"/>
            <w:tcMar>
              <w:top w:w="60" w:type="dxa"/>
              <w:bottom w:w="60" w:type="dxa"/>
              <w:start w:w="80" w:type="dxa"/>
              <w:end w:w="80" w:type="dxa"/>
            </w:tcMar>
          </w:tcPr>
          <w:p>
            <w:pPr>
              <w:jc w:val="left"/>
            </w:pPr>
            <w:r/>
            <w:r>
              <w:rPr>
                <w:rFonts w:ascii="Calibri" w:hAnsi="Calibri"/>
                <w:color w:val="343A40"/>
                <w:sz w:val="18"/>
              </w:rPr>
            </w:r>
          </w:p>
        </w:tc>
      </w:tr>
      <w:tr>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Technical Reviewer</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r>
      <w:tr>
        <w:tc>
          <w:tcPr>
            <w:tcW w:type="dxa" w:w="2185"/>
            <w:vAlign w:val="center"/>
            <w:tcMar>
              <w:top w:w="60" w:type="dxa"/>
              <w:bottom w:w="60" w:type="dxa"/>
              <w:start w:w="80" w:type="dxa"/>
              <w:end w:w="80" w:type="dxa"/>
            </w:tcMar>
          </w:tcPr>
          <w:p>
            <w:pPr>
              <w:jc w:val="left"/>
            </w:pPr>
            <w:r/>
            <w:r>
              <w:rPr>
                <w:rFonts w:ascii="Calibri" w:hAnsi="Calibri"/>
                <w:color w:val="343A40"/>
                <w:sz w:val="18"/>
              </w:rPr>
              <w:t>Project Manager</w:t>
            </w:r>
          </w:p>
        </w:tc>
        <w:tc>
          <w:tcPr>
            <w:tcW w:type="dxa" w:w="2185"/>
            <w:vAlign w:val="center"/>
            <w:tcMar>
              <w:top w:w="60" w:type="dxa"/>
              <w:bottom w:w="60" w:type="dxa"/>
              <w:start w:w="80" w:type="dxa"/>
              <w:end w:w="80" w:type="dxa"/>
            </w:tcMar>
          </w:tcPr>
          <w:p>
            <w:pPr>
              <w:jc w:val="left"/>
            </w:pPr>
            <w:r/>
            <w:r>
              <w:rPr>
                <w:rFonts w:ascii="Calibri" w:hAnsi="Calibri"/>
                <w:color w:val="343A40"/>
                <w:sz w:val="18"/>
              </w:rPr>
            </w:r>
          </w:p>
        </w:tc>
        <w:tc>
          <w:tcPr>
            <w:tcW w:type="dxa" w:w="2185"/>
            <w:vAlign w:val="center"/>
            <w:tcMar>
              <w:top w:w="60" w:type="dxa"/>
              <w:bottom w:w="60" w:type="dxa"/>
              <w:start w:w="80" w:type="dxa"/>
              <w:end w:w="80" w:type="dxa"/>
            </w:tcMar>
          </w:tcPr>
          <w:p>
            <w:pPr>
              <w:jc w:val="left"/>
            </w:pPr>
            <w:r/>
            <w:r>
              <w:rPr>
                <w:rFonts w:ascii="Calibri" w:hAnsi="Calibri"/>
                <w:color w:val="343A40"/>
                <w:sz w:val="18"/>
              </w:rPr>
            </w:r>
          </w:p>
        </w:tc>
        <w:tc>
          <w:tcPr>
            <w:tcW w:type="dxa" w:w="2185"/>
            <w:vAlign w:val="center"/>
            <w:tcMar>
              <w:top w:w="60" w:type="dxa"/>
              <w:bottom w:w="60" w:type="dxa"/>
              <w:start w:w="80" w:type="dxa"/>
              <w:end w:w="80" w:type="dxa"/>
            </w:tcMar>
          </w:tcPr>
          <w:p>
            <w:pPr>
              <w:jc w:val="left"/>
            </w:pPr>
            <w:r/>
            <w:r>
              <w:rPr>
                <w:rFonts w:ascii="Calibri" w:hAnsi="Calibri"/>
                <w:color w:val="343A40"/>
                <w:sz w:val="18"/>
              </w:rPr>
            </w:r>
          </w:p>
        </w:tc>
      </w:tr>
      <w:tr>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Client Stakeholder</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r>
    </w:tbl>
    <w:p>
      <w:pPr>
        <w:spacing w:after="80"/>
      </w:pPr>
    </w:p>
    <w:p>
      <w:pPr>
        <w:pStyle w:val="Heading2"/>
      </w:pPr>
      <w:r>
        <w:t>Distribution List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85"/>
        <w:gridCol w:w="2185"/>
        <w:gridCol w:w="2185"/>
        <w:gridCol w:w="2185"/>
      </w:tblGrid>
      <w:tr>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Name</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Role</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Organization</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Copy Type</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r>
          </w:p>
        </w:tc>
        <w:tc>
          <w:tcPr>
            <w:tcW w:type="dxa" w:w="2185"/>
            <w:vAlign w:val="center"/>
            <w:tcMar>
              <w:top w:w="60" w:type="dxa"/>
              <w:bottom w:w="60" w:type="dxa"/>
              <w:start w:w="80" w:type="dxa"/>
              <w:end w:w="80" w:type="dxa"/>
            </w:tcMar>
          </w:tcPr>
          <w:p>
            <w:pPr>
              <w:jc w:val="left"/>
            </w:pPr>
            <w:r/>
            <w:r>
              <w:rPr>
                <w:rFonts w:ascii="Calibri" w:hAnsi="Calibri"/>
                <w:color w:val="343A40"/>
                <w:sz w:val="18"/>
              </w:rPr>
              <w:t>Project Sponsor</w:t>
            </w:r>
          </w:p>
        </w:tc>
        <w:tc>
          <w:tcPr>
            <w:tcW w:type="dxa" w:w="2185"/>
            <w:vAlign w:val="center"/>
            <w:tcMar>
              <w:top w:w="60" w:type="dxa"/>
              <w:bottom w:w="60" w:type="dxa"/>
              <w:start w:w="80" w:type="dxa"/>
              <w:end w:w="80" w:type="dxa"/>
            </w:tcMar>
          </w:tcPr>
          <w:p>
            <w:pPr>
              <w:jc w:val="left"/>
            </w:pPr>
            <w:r/>
            <w:r>
              <w:rPr>
                <w:rFonts w:ascii="Calibri" w:hAnsi="Calibri"/>
                <w:color w:val="343A40"/>
                <w:sz w:val="18"/>
              </w:rPr>
              <w:t>Knowith Capital</w:t>
            </w:r>
          </w:p>
        </w:tc>
        <w:tc>
          <w:tcPr>
            <w:tcW w:type="dxa" w:w="2185"/>
            <w:vAlign w:val="center"/>
            <w:tcMar>
              <w:top w:w="60" w:type="dxa"/>
              <w:bottom w:w="60" w:type="dxa"/>
              <w:start w:w="80" w:type="dxa"/>
              <w:end w:w="80" w:type="dxa"/>
            </w:tcMar>
          </w:tcPr>
          <w:p>
            <w:pPr>
              <w:jc w:val="left"/>
            </w:pPr>
            <w:r/>
            <w:r>
              <w:rPr>
                <w:rFonts w:ascii="Calibri" w:hAnsi="Calibri"/>
                <w:color w:val="343A40"/>
                <w:sz w:val="18"/>
              </w:rPr>
              <w:t>Electronic</w:t>
            </w:r>
          </w:p>
        </w:tc>
      </w:tr>
      <w:tr>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Project Manager</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Knowith Capital</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Electronic</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r>
          </w:p>
        </w:tc>
        <w:tc>
          <w:tcPr>
            <w:tcW w:type="dxa" w:w="2185"/>
            <w:vAlign w:val="center"/>
            <w:tcMar>
              <w:top w:w="60" w:type="dxa"/>
              <w:bottom w:w="60" w:type="dxa"/>
              <w:start w:w="80" w:type="dxa"/>
              <w:end w:w="80" w:type="dxa"/>
            </w:tcMar>
          </w:tcPr>
          <w:p>
            <w:pPr>
              <w:jc w:val="left"/>
            </w:pPr>
            <w:r/>
            <w:r>
              <w:rPr>
                <w:rFonts w:ascii="Calibri" w:hAnsi="Calibri"/>
                <w:color w:val="343A40"/>
                <w:sz w:val="18"/>
              </w:rPr>
              <w:t>Technical Lead</w:t>
            </w:r>
          </w:p>
        </w:tc>
        <w:tc>
          <w:tcPr>
            <w:tcW w:type="dxa" w:w="2185"/>
            <w:vAlign w:val="center"/>
            <w:tcMar>
              <w:top w:w="60" w:type="dxa"/>
              <w:bottom w:w="60" w:type="dxa"/>
              <w:start w:w="80" w:type="dxa"/>
              <w:end w:w="80" w:type="dxa"/>
            </w:tcMar>
          </w:tcPr>
          <w:p>
            <w:pPr>
              <w:jc w:val="left"/>
            </w:pPr>
            <w:r/>
            <w:r>
              <w:rPr>
                <w:rFonts w:ascii="Calibri" w:hAnsi="Calibri"/>
                <w:color w:val="343A40"/>
                <w:sz w:val="18"/>
              </w:rPr>
              <w:t>Development Partner</w:t>
            </w:r>
          </w:p>
        </w:tc>
        <w:tc>
          <w:tcPr>
            <w:tcW w:type="dxa" w:w="2185"/>
            <w:vAlign w:val="center"/>
            <w:tcMar>
              <w:top w:w="60" w:type="dxa"/>
              <w:bottom w:w="60" w:type="dxa"/>
              <w:start w:w="80" w:type="dxa"/>
              <w:end w:w="80" w:type="dxa"/>
            </w:tcMar>
          </w:tcPr>
          <w:p>
            <w:pPr>
              <w:jc w:val="left"/>
            </w:pPr>
            <w:r/>
            <w:r>
              <w:rPr>
                <w:rFonts w:ascii="Calibri" w:hAnsi="Calibri"/>
                <w:color w:val="343A40"/>
                <w:sz w:val="18"/>
              </w:rPr>
              <w:t>Electronic</w:t>
            </w:r>
          </w:p>
        </w:tc>
      </w:tr>
      <w:tr>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Design Lead</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Design Partner</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Electronic</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r>
          </w:p>
        </w:tc>
        <w:tc>
          <w:tcPr>
            <w:tcW w:type="dxa" w:w="2185"/>
            <w:vAlign w:val="center"/>
            <w:tcMar>
              <w:top w:w="60" w:type="dxa"/>
              <w:bottom w:w="60" w:type="dxa"/>
              <w:start w:w="80" w:type="dxa"/>
              <w:end w:w="80" w:type="dxa"/>
            </w:tcMar>
          </w:tcPr>
          <w:p>
            <w:pPr>
              <w:jc w:val="left"/>
            </w:pPr>
            <w:r/>
            <w:r>
              <w:rPr>
                <w:rFonts w:ascii="Calibri" w:hAnsi="Calibri"/>
                <w:color w:val="343A40"/>
                <w:sz w:val="18"/>
              </w:rPr>
              <w:t>Content Strategist</w:t>
            </w:r>
          </w:p>
        </w:tc>
        <w:tc>
          <w:tcPr>
            <w:tcW w:type="dxa" w:w="2185"/>
            <w:vAlign w:val="center"/>
            <w:tcMar>
              <w:top w:w="60" w:type="dxa"/>
              <w:bottom w:w="60" w:type="dxa"/>
              <w:start w:w="80" w:type="dxa"/>
              <w:end w:w="80" w:type="dxa"/>
            </w:tcMar>
          </w:tcPr>
          <w:p>
            <w:pPr>
              <w:jc w:val="left"/>
            </w:pPr>
            <w:r/>
            <w:r>
              <w:rPr>
                <w:rFonts w:ascii="Calibri" w:hAnsi="Calibri"/>
                <w:color w:val="343A40"/>
                <w:sz w:val="18"/>
              </w:rPr>
              <w:t>Content Partner</w:t>
            </w:r>
          </w:p>
        </w:tc>
        <w:tc>
          <w:tcPr>
            <w:tcW w:type="dxa" w:w="2185"/>
            <w:vAlign w:val="center"/>
            <w:tcMar>
              <w:top w:w="60" w:type="dxa"/>
              <w:bottom w:w="60" w:type="dxa"/>
              <w:start w:w="80" w:type="dxa"/>
              <w:end w:w="80" w:type="dxa"/>
            </w:tcMar>
          </w:tcPr>
          <w:p>
            <w:pPr>
              <w:jc w:val="left"/>
            </w:pPr>
            <w:r/>
            <w:r>
              <w:rPr>
                <w:rFonts w:ascii="Calibri" w:hAnsi="Calibri"/>
                <w:color w:val="343A40"/>
                <w:sz w:val="18"/>
              </w:rPr>
              <w:t>Electronic</w:t>
            </w:r>
          </w:p>
        </w:tc>
      </w:tr>
    </w:tbl>
    <w:p>
      <w:pPr>
        <w:spacing w:after="80"/>
      </w:pPr>
    </w:p>
    <w:p>
      <w:r>
        <w:br w:type="page"/>
      </w:r>
    </w:p>
    <w:p>
      <w:pPr>
        <w:pStyle w:val="Heading1"/>
      </w:pPr>
      <w:r>
        <w:t>Regulatory Notice</w:t>
      </w:r>
    </w:p>
    <w:p>
      <w:pPr>
        <w:spacing w:before="200" w:after="40"/>
        <w:pBdr>
          <w:left w:val="single" w:sz="24" w:space="8" w:color="E65100"/>
        </w:pBdr>
        <w:shd w:val="clear" w:color="auto" w:fill="FFF3E0"/>
        <w:ind w:left="360" w:right="360"/>
      </w:pPr>
      <w:r>
        <w:rPr>
          <w:rFonts w:ascii="Calibri" w:hAnsi="Calibri"/>
          <w:b/>
          <w:color w:val="BF360C"/>
          <w:sz w:val="21"/>
        </w:rPr>
        <w:t>❗  IMPORTANT REGULATORY DISCLAIMER</w:t>
      </w:r>
    </w:p>
    <w:p>
      <w:pPr>
        <w:spacing w:before="20" w:after="160"/>
        <w:pBdr>
          <w:left w:val="single" w:sz="24" w:space="8" w:color="E65100"/>
        </w:pBdr>
        <w:shd w:val="clear" w:color="auto" w:fill="FFF3E0"/>
        <w:ind w:left="360" w:right="360"/>
      </w:pPr>
      <w:r>
        <w:rPr>
          <w:rFonts w:ascii="Calibri" w:hAnsi="Calibri"/>
          <w:color w:val="343A40"/>
          <w:sz w:val="20"/>
        </w:rPr>
        <w:t>Knowith Capital operates as a Mutual Fund Distributor (MFD) registered with the Association of Mutual Funds in India (AMFI). Knowith Capital is NOT a SEBI Registered Investment Advisor (RIA). All references to services within this document pertain exclusively to mutual fund distribution and related investor support services. No content in this document should be construed as investment advice, financial planning, or portfolio management services.</w:t>
      </w:r>
    </w:p>
    <w:p>
      <w:r>
        <w:rPr>
          <w:rFonts w:ascii="Calibri" w:hAnsi="Calibri"/>
          <w:b w:val="0"/>
          <w:i w:val="0"/>
          <w:color w:val="343A40"/>
          <w:sz w:val="21"/>
        </w:rPr>
        <w:t>Throughout this document, all references to services provided by Knowith Capital are limited to mutual fund distribution activities. The following terminology guidelines are observed:</w:t>
      </w:r>
    </w:p>
    <w:p>
      <w:pPr>
        <w:pStyle w:val="Heading3"/>
      </w:pPr>
      <w:r>
        <w:t>Approved Terminology</w:t>
      </w:r>
    </w:p>
    <w:p>
      <w:pPr>
        <w:pStyle w:val="ListBullet"/>
        <w:spacing w:before="40" w:after="60"/>
      </w:pPr>
      <w:r>
        <w:rPr>
          <w:rFonts w:ascii="Calibri" w:hAnsi="Calibri"/>
          <w:color w:val="343A40"/>
          <w:sz w:val="21"/>
        </w:rPr>
        <w:t>Service Type: Mutual Fund Distribution</w:t>
      </w:r>
    </w:p>
    <w:p>
      <w:pPr>
        <w:pStyle w:val="ListBullet"/>
        <w:spacing w:before="40" w:after="60"/>
      </w:pPr>
      <w:r>
        <w:rPr>
          <w:rFonts w:ascii="Calibri" w:hAnsi="Calibri"/>
          <w:color w:val="343A40"/>
          <w:sz w:val="21"/>
        </w:rPr>
        <w:t>Service Action: Investment Execution</w:t>
      </w:r>
    </w:p>
    <w:p>
      <w:pPr>
        <w:pStyle w:val="ListBullet"/>
        <w:spacing w:before="40" w:after="60"/>
      </w:pPr>
      <w:r>
        <w:rPr>
          <w:rFonts w:ascii="Calibri" w:hAnsi="Calibri"/>
          <w:color w:val="343A40"/>
          <w:sz w:val="21"/>
        </w:rPr>
        <w:t>Service Offering: Wealth Solutions</w:t>
      </w:r>
    </w:p>
    <w:p>
      <w:pPr>
        <w:pStyle w:val="ListBullet"/>
        <w:spacing w:before="40" w:after="60"/>
      </w:pPr>
      <w:r>
        <w:rPr>
          <w:rFonts w:ascii="Calibri" w:hAnsi="Calibri"/>
          <w:color w:val="343A40"/>
          <w:sz w:val="21"/>
        </w:rPr>
        <w:t>Support: Investment Support</w:t>
      </w:r>
    </w:p>
    <w:p>
      <w:pPr>
        <w:pStyle w:val="ListBullet"/>
        <w:spacing w:before="40" w:after="60"/>
      </w:pPr>
      <w:r>
        <w:rPr>
          <w:rFonts w:ascii="Calibri" w:hAnsi="Calibri"/>
          <w:color w:val="343A40"/>
          <w:sz w:val="21"/>
        </w:rPr>
        <w:t>Research: Research &amp; Insights</w:t>
      </w:r>
    </w:p>
    <w:p>
      <w:pPr>
        <w:pStyle w:val="ListBullet"/>
        <w:spacing w:before="40" w:after="60"/>
      </w:pPr>
      <w:r>
        <w:rPr>
          <w:rFonts w:ascii="Calibri" w:hAnsi="Calibri"/>
          <w:color w:val="343A40"/>
          <w:sz w:val="21"/>
        </w:rPr>
        <w:t>Communication: Investor Communication</w:t>
      </w:r>
    </w:p>
    <w:p>
      <w:pPr>
        <w:pStyle w:val="ListBullet"/>
        <w:spacing w:before="40" w:after="60"/>
      </w:pPr>
      <w:r>
        <w:rPr>
          <w:rFonts w:ascii="Calibri" w:hAnsi="Calibri"/>
          <w:color w:val="343A40"/>
          <w:sz w:val="21"/>
        </w:rPr>
        <w:t>Role: Mutual Fund Distributor</w:t>
      </w:r>
    </w:p>
    <w:p>
      <w:pPr>
        <w:pStyle w:val="ListBullet"/>
        <w:spacing w:before="40" w:after="60"/>
      </w:pPr>
      <w:r>
        <w:rPr>
          <w:rFonts w:ascii="Calibri" w:hAnsi="Calibri"/>
          <w:color w:val="343A40"/>
          <w:sz w:val="21"/>
        </w:rPr>
        <w:t>Entity: Distribution Partner</w:t>
      </w:r>
    </w:p>
    <w:p>
      <w:pPr>
        <w:pStyle w:val="Heading3"/>
      </w:pPr>
      <w:r>
        <w:t>Prohibited Terminology</w:t>
      </w:r>
    </w:p>
    <w:p>
      <w:r>
        <w:rPr>
          <w:rFonts w:ascii="Calibri" w:hAnsi="Calibri"/>
          <w:b w:val="0"/>
          <w:i w:val="0"/>
          <w:color w:val="343A40"/>
          <w:sz w:val="21"/>
        </w:rPr>
        <w:t>The following terms must NOT be used in any client-facing content, marketing materials, or website copy:</w:t>
      </w:r>
    </w:p>
    <w:p>
      <w:pPr>
        <w:pStyle w:val="ListBullet"/>
        <w:spacing w:before="40" w:after="60"/>
      </w:pPr>
      <w:r>
        <w:rPr>
          <w:rFonts w:ascii="Calibri" w:hAnsi="Calibri"/>
          <w:color w:val="343A40"/>
          <w:sz w:val="21"/>
        </w:rPr>
        <w:t>Investment Advisor</w:t>
      </w:r>
    </w:p>
    <w:p>
      <w:pPr>
        <w:pStyle w:val="ListBullet"/>
        <w:spacing w:before="40" w:after="60"/>
      </w:pPr>
      <w:r>
        <w:rPr>
          <w:rFonts w:ascii="Calibri" w:hAnsi="Calibri"/>
          <w:color w:val="343A40"/>
          <w:sz w:val="21"/>
        </w:rPr>
        <w:t>Financial Advisor</w:t>
      </w:r>
    </w:p>
    <w:p>
      <w:pPr>
        <w:pStyle w:val="ListBullet"/>
        <w:spacing w:before="40" w:after="60"/>
      </w:pPr>
      <w:r>
        <w:rPr>
          <w:rFonts w:ascii="Calibri" w:hAnsi="Calibri"/>
          <w:color w:val="343A40"/>
          <w:sz w:val="21"/>
        </w:rPr>
        <w:t>Advisory Services</w:t>
      </w:r>
    </w:p>
    <w:p>
      <w:pPr>
        <w:pStyle w:val="ListBullet"/>
        <w:spacing w:before="40" w:after="60"/>
      </w:pPr>
      <w:r>
        <w:rPr>
          <w:rFonts w:ascii="Calibri" w:hAnsi="Calibri"/>
          <w:color w:val="343A40"/>
          <w:sz w:val="21"/>
        </w:rPr>
        <w:t>Consultancy</w:t>
      </w:r>
    </w:p>
    <w:p>
      <w:pPr>
        <w:pStyle w:val="ListBullet"/>
        <w:spacing w:before="40" w:after="60"/>
      </w:pPr>
      <w:r>
        <w:rPr>
          <w:rFonts w:ascii="Calibri" w:hAnsi="Calibri"/>
          <w:color w:val="343A40"/>
          <w:sz w:val="21"/>
        </w:rPr>
        <w:t>Investment Advice</w:t>
      </w:r>
    </w:p>
    <w:p>
      <w:pPr>
        <w:pStyle w:val="ListBullet"/>
        <w:spacing w:before="40" w:after="60"/>
      </w:pPr>
      <w:r>
        <w:rPr>
          <w:rFonts w:ascii="Calibri" w:hAnsi="Calibri"/>
          <w:color w:val="343A40"/>
          <w:sz w:val="21"/>
        </w:rPr>
        <w:t>Financial Planning Services</w:t>
      </w:r>
    </w:p>
    <w:p>
      <w:pPr>
        <w:pStyle w:val="ListBullet"/>
        <w:spacing w:before="40" w:after="60"/>
      </w:pPr>
      <w:r>
        <w:rPr>
          <w:rFonts w:ascii="Calibri" w:hAnsi="Calibri"/>
          <w:color w:val="343A40"/>
          <w:sz w:val="21"/>
        </w:rPr>
        <w:t>Portfolio Management Services</w:t>
      </w:r>
    </w:p>
    <w:p>
      <w:pPr>
        <w:pStyle w:val="ListBullet"/>
        <w:spacing w:before="40" w:after="60"/>
      </w:pPr>
      <w:r>
        <w:rPr>
          <w:rFonts w:ascii="Calibri" w:hAnsi="Calibri"/>
          <w:color w:val="343A40"/>
          <w:sz w:val="21"/>
        </w:rPr>
        <w:t>Wealth Management Advisor</w:t>
      </w:r>
    </w:p>
    <w:p>
      <w:r>
        <w:br w:type="page"/>
      </w:r>
    </w:p>
    <w:p>
      <w:pPr>
        <w:pStyle w:val="Heading1"/>
      </w:pPr>
      <w:r>
        <w:t>Table of Contents</w:t>
      </w:r>
    </w:p>
    <w:p>
      <w:pPr>
        <w:spacing w:after="240"/>
      </w:pPr>
      <w:r>
        <w:fldChar w:fldCharType="begin"/>
      </w:r>
      <w:r>
        <w:instrText xml:space="preserve"> TOC \o "1-3" \h \z \u </w:instrText>
      </w:r>
      <w:r>
        <w:fldChar w:fldCharType="separate"/>
      </w:r>
      <w:r>
        <w:rPr>
          <w:i/>
          <w:color w:val="6C757D"/>
          <w:sz w:val="21"/>
        </w:rPr>
        <w:t>[Right-click here and select "Update Field" to generate the Table of Contents]</w:t>
      </w:r>
      <w:r>
        <w:fldChar w:fldCharType="end"/>
      </w:r>
    </w:p>
    <w:p>
      <w:r>
        <w:br w:type="page"/>
      </w:r>
    </w:p>
    <w:p>
      <w:pPr>
        <w:pStyle w:val="Heading1"/>
      </w:pPr>
      <w:r>
        <w:t>Executive Summary</w:t>
      </w:r>
    </w:p>
    <w:p>
      <w:r>
        <w:rPr>
          <w:rFonts w:ascii="Calibri" w:hAnsi="Calibri"/>
          <w:b w:val="0"/>
          <w:i w:val="0"/>
          <w:color w:val="343A40"/>
          <w:sz w:val="21"/>
        </w:rPr>
        <w:t>This UI/UX Design Reference Guide serves as the authoritative blueprint for the visual and interactive experience of the Knowith Capital digital platform. Our primary objective is to translate Knowith Capital's core brand values—credibility, sophistication, and steadfast reliability—into a tangible, high-performance digital interface.</w:t>
      </w:r>
    </w:p>
    <w:p>
      <w:r>
        <w:rPr>
          <w:rFonts w:ascii="Calibri" w:hAnsi="Calibri"/>
          <w:b w:val="0"/>
          <w:i w:val="0"/>
          <w:color w:val="343A40"/>
          <w:sz w:val="21"/>
        </w:rPr>
        <w:t>Unlike generic retail platforms, this design system is engineered to emulate the refined, bespoke aesthetics of top-tier global wealth managers and hedge funds. Every typographic choice, color value, component state, and animation parameter has been meticulously selected to foster investor trust, ensure rigorous regulatory compliance, and deliver an intuitive user experience. This document provides precise specifications for developers, designers, and stakeholders to ensure absolute consistency across all touchpoints.</w:t>
      </w:r>
    </w:p>
    <w:p>
      <w:r>
        <w:br w:type="page"/>
      </w:r>
    </w:p>
    <w:p>
      <w:pPr>
        <w:pStyle w:val="Heading1"/>
      </w:pPr>
      <w:r>
        <w:t>Design Philosophy</w:t>
      </w:r>
    </w:p>
    <w:p>
      <w:r>
        <w:rPr>
          <w:rFonts w:ascii="Calibri" w:hAnsi="Calibri"/>
          <w:b w:val="0"/>
          <w:i w:val="0"/>
          <w:color w:val="343A40"/>
          <w:sz w:val="21"/>
        </w:rPr>
        <w:t>The Knowith Capital design philosophy is anchored in the concept of 'Quiet Confidence'. We eschew decorative flourishes and aggressive promotional aesthetics in favor of structural elegance, functional clarity, and premium minimalism.</w:t>
      </w:r>
    </w:p>
    <w:p>
      <w:pPr>
        <w:pStyle w:val="ListBullet"/>
        <w:spacing w:before="40" w:after="60"/>
      </w:pPr>
      <w:r>
        <w:rPr>
          <w:rFonts w:ascii="Calibri" w:hAnsi="Calibri"/>
          <w:b/>
          <w:color w:val="343A40"/>
          <w:sz w:val="21"/>
        </w:rPr>
        <w:t>Premium Over Decorative:</w:t>
      </w:r>
      <w:r>
        <w:rPr>
          <w:rFonts w:ascii="Calibri" w:hAnsi="Calibri"/>
          <w:color w:val="343A40"/>
          <w:sz w:val="21"/>
        </w:rPr>
        <w:t xml:space="preserve">  Every element must serve a functional or structural purpose. We rely on superior typography and purposeful spacing rather than unnecessary borders, backgrounds, or drop-shadows.</w:t>
      </w:r>
    </w:p>
    <w:p>
      <w:pPr>
        <w:pStyle w:val="ListBullet"/>
        <w:spacing w:before="40" w:after="60"/>
      </w:pPr>
      <w:r>
        <w:rPr>
          <w:rFonts w:ascii="Calibri" w:hAnsi="Calibri"/>
          <w:b/>
          <w:color w:val="343A40"/>
          <w:sz w:val="21"/>
        </w:rPr>
        <w:t>Minimal Over Cluttered:</w:t>
      </w:r>
      <w:r>
        <w:rPr>
          <w:rFonts w:ascii="Calibri" w:hAnsi="Calibri"/>
          <w:color w:val="343A40"/>
          <w:sz w:val="21"/>
        </w:rPr>
        <w:t xml:space="preserve">  Information density is carefully managed. We present complex financial concepts through progressive disclosure, ensuring the interface never overwhelms the investor.</w:t>
      </w:r>
    </w:p>
    <w:p>
      <w:pPr>
        <w:pStyle w:val="ListBullet"/>
        <w:spacing w:before="40" w:after="60"/>
      </w:pPr>
      <w:r>
        <w:rPr>
          <w:rFonts w:ascii="Calibri" w:hAnsi="Calibri"/>
          <w:b/>
          <w:color w:val="343A40"/>
          <w:sz w:val="21"/>
        </w:rPr>
        <w:t>Trust Over Flash:</w:t>
      </w:r>
      <w:r>
        <w:rPr>
          <w:rFonts w:ascii="Calibri" w:hAnsi="Calibri"/>
          <w:color w:val="343A40"/>
          <w:sz w:val="21"/>
        </w:rPr>
        <w:t xml:space="preserve">  Interactions should feel solid, predictable, and highly responsive. Animations are used exclusively to guide attention or confirm actions, never merely to entertain.</w:t>
      </w:r>
    </w:p>
    <w:p>
      <w:pPr>
        <w:pStyle w:val="ListBullet"/>
        <w:spacing w:before="40" w:after="60"/>
      </w:pPr>
      <w:r>
        <w:rPr>
          <w:rFonts w:ascii="Calibri" w:hAnsi="Calibri"/>
          <w:b/>
          <w:color w:val="343A40"/>
          <w:sz w:val="21"/>
        </w:rPr>
        <w:t>Research-Driven &amp; Investor-Focused:</w:t>
      </w:r>
      <w:r>
        <w:rPr>
          <w:rFonts w:ascii="Calibri" w:hAnsi="Calibri"/>
          <w:color w:val="343A40"/>
          <w:sz w:val="21"/>
        </w:rPr>
        <w:t xml:space="preserve">  Layouts are optimized for reading comprehension and cognitive ease. The hierarchy is designed to surface critical information (like regulatory disclaimers and risk factors) transparently, reinforcing our commitment to investor protection.</w:t>
      </w:r>
    </w:p>
    <w:p>
      <w:pPr>
        <w:spacing w:before="200" w:after="40"/>
        <w:pBdr>
          <w:left w:val="single" w:sz="24" w:space="8" w:color="2E86AB"/>
        </w:pBdr>
        <w:shd w:val="clear" w:color="auto" w:fill="EBF5FB"/>
        <w:ind w:left="360" w:right="360"/>
      </w:pPr>
      <w:r>
        <w:rPr>
          <w:rFonts w:ascii="Calibri" w:hAnsi="Calibri"/>
          <w:b/>
          <w:color w:val="1A5C7A"/>
          <w:sz w:val="21"/>
        </w:rPr>
        <w:t>ℹ️  DESIGN AS A BUSINESS ASSET</w:t>
      </w:r>
    </w:p>
    <w:p>
      <w:pPr>
        <w:spacing w:before="20" w:after="160"/>
        <w:pBdr>
          <w:left w:val="single" w:sz="24" w:space="8" w:color="2E86AB"/>
        </w:pBdr>
        <w:shd w:val="clear" w:color="auto" w:fill="EBF5FB"/>
        <w:ind w:left="360" w:right="360"/>
      </w:pPr>
      <w:r>
        <w:rPr>
          <w:rFonts w:ascii="Calibri" w:hAnsi="Calibri"/>
          <w:color w:val="343A40"/>
          <w:sz w:val="20"/>
        </w:rPr>
        <w:t>This is not a template site. The UI must feel bespoke and institutional, rivaling the digital presence of leading global asset management firms. The design itself acts as a non-verbal indicator of Knowith Capital's competence and stability.</w:t>
      </w:r>
    </w:p>
    <w:p>
      <w:r>
        <w:br w:type="page"/>
      </w:r>
    </w:p>
    <w:p>
      <w:pPr>
        <w:pStyle w:val="Heading1"/>
      </w:pPr>
      <w:r>
        <w:t>Premium Design Principles</w:t>
      </w:r>
    </w:p>
    <w:p>
      <w:r>
        <w:rPr>
          <w:rFonts w:ascii="Calibri" w:hAnsi="Calibri"/>
          <w:b w:val="0"/>
          <w:i w:val="0"/>
          <w:color w:val="343A40"/>
          <w:sz w:val="21"/>
        </w:rPr>
        <w:t>All interface decisions must adhere to the following ten foundational principles:</w:t>
      </w:r>
    </w:p>
    <w:p>
      <w:pPr>
        <w:pStyle w:val="Heading3"/>
      </w:pPr>
      <w:r>
        <w:t>White Space as a Design Tool</w:t>
      </w:r>
    </w:p>
    <w:p>
      <w:r>
        <w:rPr>
          <w:rFonts w:ascii="Calibri" w:hAnsi="Calibri"/>
          <w:b w:val="0"/>
          <w:i w:val="0"/>
          <w:color w:val="343A40"/>
          <w:sz w:val="21"/>
        </w:rPr>
        <w:t>Generous negative space is not empty space; it is the primary tool for creating a premium feel. It groups related elements, provides cognitive relief, and elevates the perceived value of the content.</w:t>
      </w:r>
    </w:p>
    <w:p>
      <w:pPr>
        <w:pStyle w:val="Heading3"/>
      </w:pPr>
      <w:r>
        <w:t>Typographic Hierarchy</w:t>
      </w:r>
    </w:p>
    <w:p>
      <w:r>
        <w:rPr>
          <w:rFonts w:ascii="Calibri" w:hAnsi="Calibri"/>
          <w:b w:val="0"/>
          <w:i w:val="0"/>
          <w:color w:val="343A40"/>
          <w:sz w:val="21"/>
        </w:rPr>
        <w:t>Structure is established primarily through typography—size, weight, and color contrast—rather than through dividing lines or boxes. The scale must be mathematically precise and strictly adhered to.</w:t>
      </w:r>
    </w:p>
    <w:p>
      <w:pPr>
        <w:pStyle w:val="Heading3"/>
      </w:pPr>
      <w:r>
        <w:t>Restraint in Color</w:t>
      </w:r>
    </w:p>
    <w:p>
      <w:r>
        <w:rPr>
          <w:rFonts w:ascii="Calibri" w:hAnsi="Calibri"/>
          <w:b w:val="0"/>
          <w:i w:val="0"/>
          <w:color w:val="343A40"/>
          <w:sz w:val="21"/>
        </w:rPr>
        <w:t>Color is a functional tool used to guide attention, indicate state, and reinforce brand identity. The primary palette (Navy and Gold) is used decisively, while neutral grays do the heavy lifting for interface structure.</w:t>
      </w:r>
    </w:p>
    <w:p>
      <w:pPr>
        <w:pStyle w:val="Heading3"/>
      </w:pPr>
      <w:r>
        <w:t>Purposeful Animation</w:t>
      </w:r>
    </w:p>
    <w:p>
      <w:r>
        <w:rPr>
          <w:rFonts w:ascii="Calibri" w:hAnsi="Calibri"/>
          <w:b w:val="0"/>
          <w:i w:val="0"/>
          <w:color w:val="343A40"/>
          <w:sz w:val="21"/>
        </w:rPr>
        <w:t>Motion is utilized solely to enhance usability: confirming interactions, softening state changes, and revealing information logically. Elements should never move autonomously without user input.</w:t>
      </w:r>
    </w:p>
    <w:p>
      <w:pPr>
        <w:pStyle w:val="Heading3"/>
      </w:pPr>
      <w:r>
        <w:t>Content-First Design</w:t>
      </w:r>
    </w:p>
    <w:p>
      <w:r>
        <w:rPr>
          <w:rFonts w:ascii="Calibri" w:hAnsi="Calibri"/>
          <w:b w:val="0"/>
          <w:i w:val="0"/>
          <w:color w:val="343A40"/>
          <w:sz w:val="21"/>
        </w:rPr>
        <w:t>The interface exists to serve the content, not to compete with it. UI chrome (navigation, footers, sidebars) should recede, allowing insights, data, and service details to take center stage.</w:t>
      </w:r>
    </w:p>
    <w:p>
      <w:pPr>
        <w:pStyle w:val="Heading3"/>
      </w:pPr>
      <w:r>
        <w:t>Trust Through Consistency</w:t>
      </w:r>
    </w:p>
    <w:p>
      <w:r>
        <w:rPr>
          <w:rFonts w:ascii="Calibri" w:hAnsi="Calibri"/>
          <w:b w:val="0"/>
          <w:i w:val="0"/>
          <w:color w:val="343A40"/>
          <w:sz w:val="21"/>
        </w:rPr>
        <w:t>Predictability breeds trust. A button must always look and behave like a button. Padding, border-radii, and hover states must remain mathematically consistent across the entire platform.</w:t>
      </w:r>
    </w:p>
    <w:p>
      <w:pPr>
        <w:pStyle w:val="Heading3"/>
      </w:pPr>
      <w:r>
        <w:t>Accessibility as a Foundation</w:t>
      </w:r>
    </w:p>
    <w:p>
      <w:r>
        <w:rPr>
          <w:rFonts w:ascii="Calibri" w:hAnsi="Calibri"/>
          <w:b w:val="0"/>
          <w:i w:val="0"/>
          <w:color w:val="343A40"/>
          <w:sz w:val="21"/>
        </w:rPr>
        <w:t>Inclusive design is non-negotiable. Strict adherence to WCAG AA standards ensures legibility, contrast, and navigability for all investors, reflecting institutional maturity.</w:t>
      </w:r>
    </w:p>
    <w:p>
      <w:pPr>
        <w:pStyle w:val="Heading3"/>
      </w:pPr>
      <w:r>
        <w:t>Progressive Disclosure</w:t>
      </w:r>
    </w:p>
    <w:p>
      <w:r>
        <w:rPr>
          <w:rFonts w:ascii="Calibri" w:hAnsi="Calibri"/>
          <w:b w:val="0"/>
          <w:i w:val="0"/>
          <w:color w:val="343A40"/>
          <w:sz w:val="21"/>
        </w:rPr>
        <w:t>Complex information (such as deep analytics or extensive regulatory terms) is introduced sequentially. We provide the summary first, allowing interested users to drill down for granular detail.</w:t>
      </w:r>
    </w:p>
    <w:p>
      <w:pPr>
        <w:pStyle w:val="Heading3"/>
      </w:pPr>
      <w:r>
        <w:t>Visual Breathing Room</w:t>
      </w:r>
    </w:p>
    <w:p>
      <w:r>
        <w:rPr>
          <w:rFonts w:ascii="Calibri" w:hAnsi="Calibri"/>
          <w:b w:val="0"/>
          <w:i w:val="0"/>
          <w:color w:val="343A40"/>
          <w:sz w:val="21"/>
        </w:rPr>
        <w:t>Dense financial data must be balanced with expansive layout structures. Tables and data visualizations require significant internal padding to remain legible and approachable.</w:t>
      </w:r>
    </w:p>
    <w:p>
      <w:pPr>
        <w:pStyle w:val="Heading3"/>
      </w:pPr>
      <w:r>
        <w:t>Quiet Confidence Over Loud Promotion</w:t>
      </w:r>
    </w:p>
    <w:p>
      <w:r>
        <w:rPr>
          <w:rFonts w:ascii="Calibri" w:hAnsi="Calibri"/>
          <w:b w:val="0"/>
          <w:i w:val="0"/>
          <w:color w:val="343A40"/>
          <w:sz w:val="21"/>
        </w:rPr>
        <w:t>We do not use 'shouting' design patterns (e.g., massive CTA banners, intrusive pop-ups, high-saturation alert colors for marketing). Our design speaks with the measured tone of an experienced professional.</w:t>
      </w:r>
    </w:p>
    <w:p>
      <w:r>
        <w:br w:type="page"/>
      </w:r>
    </w:p>
    <w:p>
      <w:pPr>
        <w:pStyle w:val="Heading1"/>
      </w:pPr>
      <w:r>
        <w:t>Reference Website Analysis</w:t>
      </w:r>
    </w:p>
    <w:p>
      <w:r>
        <w:rPr>
          <w:rFonts w:ascii="Calibri" w:hAnsi="Calibri"/>
          <w:b w:val="0"/>
          <w:i w:val="0"/>
          <w:color w:val="343A40"/>
          <w:sz w:val="21"/>
        </w:rPr>
        <w:t>Our design strategy is informed by an analysis of leading platforms in the financial and corporate sectors. The following deconstructs specific patterns to emulate and avoid.</w:t>
      </w:r>
    </w:p>
    <w:p>
      <w:pPr>
        <w:pStyle w:val="Heading2"/>
      </w:pPr>
      <w:r>
        <w:t>1. Ionic Wealth (Aspirational Baseline)</w:t>
      </w:r>
    </w:p>
    <w:p>
      <w:r>
        <w:rPr>
          <w:rFonts w:ascii="Calibri" w:hAnsi="Calibri"/>
          <w:b w:val="0"/>
          <w:i w:val="0"/>
          <w:color w:val="343A40"/>
          <w:sz w:val="21"/>
        </w:rPr>
        <w:t>Ionic Wealth represents the target aesthetic: highly professional, spacious, and sophisticated.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2880"/>
            <w:shd w:fill="1B2A4A" w:val="clear"/>
            <w:vAlign w:val="center"/>
            <w:tcMar>
              <w:top w:w="60" w:type="dxa"/>
              <w:bottom w:w="60" w:type="dxa"/>
              <w:start w:w="80" w:type="dxa"/>
              <w:end w:w="80" w:type="dxa"/>
            </w:tcMar>
          </w:tcPr>
          <w:p>
            <w:pPr>
              <w:jc w:val="left"/>
            </w:pPr>
            <w:r/>
            <w:r>
              <w:rPr>
                <w:rFonts w:ascii="Calibri" w:hAnsi="Calibri"/>
                <w:b/>
                <w:color w:val="FFFFFF"/>
                <w:sz w:val="19"/>
              </w:rPr>
              <w:t>Attribute</w:t>
            </w:r>
          </w:p>
        </w:tc>
        <w:tc>
          <w:tcPr>
            <w:tcW w:type="dxa" w:w="7200"/>
            <w:shd w:fill="1B2A4A" w:val="clear"/>
            <w:vAlign w:val="center"/>
            <w:tcMar>
              <w:top w:w="60" w:type="dxa"/>
              <w:bottom w:w="60" w:type="dxa"/>
              <w:start w:w="80" w:type="dxa"/>
              <w:end w:w="80" w:type="dxa"/>
            </w:tcMar>
          </w:tcPr>
          <w:p>
            <w:pPr>
              <w:jc w:val="left"/>
            </w:pPr>
            <w:r/>
            <w:r>
              <w:rPr>
                <w:rFonts w:ascii="Calibri" w:hAnsi="Calibri"/>
                <w:b/>
                <w:color w:val="FFFFFF"/>
                <w:sz w:val="19"/>
              </w:rPr>
              <w:t>Observation / Recommendation</w:t>
            </w:r>
          </w:p>
        </w:tc>
      </w:tr>
      <w:tr>
        <w:tc>
          <w:tcPr>
            <w:tcW w:type="dxa" w:w="2880"/>
            <w:vAlign w:val="center"/>
            <w:tcMar>
              <w:top w:w="60" w:type="dxa"/>
              <w:bottom w:w="60" w:type="dxa"/>
              <w:start w:w="80" w:type="dxa"/>
              <w:end w:w="80" w:type="dxa"/>
            </w:tcMar>
          </w:tcPr>
          <w:p>
            <w:pPr>
              <w:jc w:val="left"/>
            </w:pPr>
            <w:r/>
            <w:r>
              <w:rPr>
                <w:rFonts w:ascii="Calibri" w:hAnsi="Calibri"/>
                <w:color w:val="343A40"/>
                <w:sz w:val="18"/>
              </w:rPr>
              <w:t>Layout &amp; Spacing</w:t>
            </w:r>
          </w:p>
        </w:tc>
        <w:tc>
          <w:tcPr>
            <w:tcW w:type="dxa" w:w="7200"/>
            <w:vAlign w:val="center"/>
            <w:tcMar>
              <w:top w:w="60" w:type="dxa"/>
              <w:bottom w:w="60" w:type="dxa"/>
              <w:start w:w="80" w:type="dxa"/>
              <w:end w:w="80" w:type="dxa"/>
            </w:tcMar>
          </w:tcPr>
          <w:p>
            <w:pPr>
              <w:jc w:val="left"/>
            </w:pPr>
            <w:r/>
            <w:r>
              <w:rPr>
                <w:rFonts w:ascii="Calibri" w:hAnsi="Calibri"/>
                <w:color w:val="343A40"/>
                <w:sz w:val="18"/>
              </w:rPr>
              <w:t>Extremely generous padding between sections. Creates a calm, deliberate reading pace. Action: Adopt a 120px minimum vertical section padding for desktop.</w:t>
            </w:r>
          </w:p>
        </w:tc>
      </w:tr>
      <w:tr>
        <w:tc>
          <w:tcPr>
            <w:tcW w:type="dxa" w:w="2880"/>
            <w:vAlign w:val="center"/>
            <w:tcMar>
              <w:top w:w="60" w:type="dxa"/>
              <w:bottom w:w="60" w:type="dxa"/>
              <w:start w:w="80" w:type="dxa"/>
              <w:end w:w="80" w:type="dxa"/>
            </w:tcMar>
            <w:shd w:fill="F8F9FA" w:val="clear"/>
          </w:tcPr>
          <w:p>
            <w:pPr>
              <w:jc w:val="left"/>
            </w:pPr>
            <w:r/>
            <w:r>
              <w:rPr>
                <w:rFonts w:ascii="Calibri" w:hAnsi="Calibri"/>
                <w:color w:val="343A40"/>
                <w:sz w:val="18"/>
              </w:rPr>
              <w:t>Typography</w:t>
            </w:r>
          </w:p>
        </w:tc>
        <w:tc>
          <w:tcPr>
            <w:tcW w:type="dxa" w:w="7200"/>
            <w:vAlign w:val="center"/>
            <w:tcMar>
              <w:top w:w="60" w:type="dxa"/>
              <w:bottom w:w="60" w:type="dxa"/>
              <w:start w:w="80" w:type="dxa"/>
              <w:end w:w="80" w:type="dxa"/>
            </w:tcMar>
            <w:shd w:fill="F8F9FA" w:val="clear"/>
          </w:tcPr>
          <w:p>
            <w:pPr>
              <w:jc w:val="left"/>
            </w:pPr>
            <w:r/>
            <w:r>
              <w:rPr>
                <w:rFonts w:ascii="Calibri" w:hAnsi="Calibri"/>
                <w:color w:val="343A40"/>
                <w:sz w:val="18"/>
              </w:rPr>
              <w:t>High contrast between large, light hero typography and highly legible body copy. Action: Utilize a strict typographic scale with prominent H1/H2 sizes.</w:t>
            </w:r>
          </w:p>
        </w:tc>
      </w:tr>
      <w:tr>
        <w:tc>
          <w:tcPr>
            <w:tcW w:type="dxa" w:w="2880"/>
            <w:vAlign w:val="center"/>
            <w:tcMar>
              <w:top w:w="60" w:type="dxa"/>
              <w:bottom w:w="60" w:type="dxa"/>
              <w:start w:w="80" w:type="dxa"/>
              <w:end w:w="80" w:type="dxa"/>
            </w:tcMar>
          </w:tcPr>
          <w:p>
            <w:pPr>
              <w:jc w:val="left"/>
            </w:pPr>
            <w:r/>
            <w:r>
              <w:rPr>
                <w:rFonts w:ascii="Calibri" w:hAnsi="Calibri"/>
                <w:color w:val="343A40"/>
                <w:sz w:val="18"/>
              </w:rPr>
              <w:t>Color Palette</w:t>
            </w:r>
          </w:p>
        </w:tc>
        <w:tc>
          <w:tcPr>
            <w:tcW w:type="dxa" w:w="7200"/>
            <w:vAlign w:val="center"/>
            <w:tcMar>
              <w:top w:w="60" w:type="dxa"/>
              <w:bottom w:w="60" w:type="dxa"/>
              <w:start w:w="80" w:type="dxa"/>
              <w:end w:w="80" w:type="dxa"/>
            </w:tcMar>
          </w:tcPr>
          <w:p>
            <w:pPr>
              <w:jc w:val="left"/>
            </w:pPr>
            <w:r/>
            <w:r>
              <w:rPr>
                <w:rFonts w:ascii="Calibri" w:hAnsi="Calibri"/>
                <w:color w:val="343A40"/>
                <w:sz w:val="18"/>
              </w:rPr>
              <w:t>Dominated by deep, muted tones and stark whites. Action: Keep backgrounds predominantly white or very light gray, reserving Navy for high-impact sections.</w:t>
            </w:r>
          </w:p>
        </w:tc>
      </w:tr>
      <w:tr>
        <w:tc>
          <w:tcPr>
            <w:tcW w:type="dxa" w:w="2880"/>
            <w:vAlign w:val="center"/>
            <w:tcMar>
              <w:top w:w="60" w:type="dxa"/>
              <w:bottom w:w="60" w:type="dxa"/>
              <w:start w:w="80" w:type="dxa"/>
              <w:end w:w="80" w:type="dxa"/>
            </w:tcMar>
            <w:shd w:fill="F8F9FA" w:val="clear"/>
          </w:tcPr>
          <w:p>
            <w:pPr>
              <w:jc w:val="left"/>
            </w:pPr>
            <w:r/>
            <w:r>
              <w:rPr>
                <w:rFonts w:ascii="Calibri" w:hAnsi="Calibri"/>
                <w:color w:val="343A40"/>
                <w:sz w:val="18"/>
              </w:rPr>
              <w:t>What to Avoid</w:t>
            </w:r>
          </w:p>
        </w:tc>
        <w:tc>
          <w:tcPr>
            <w:tcW w:type="dxa" w:w="7200"/>
            <w:vAlign w:val="center"/>
            <w:tcMar>
              <w:top w:w="60" w:type="dxa"/>
              <w:bottom w:w="60" w:type="dxa"/>
              <w:start w:w="80" w:type="dxa"/>
              <w:end w:w="80" w:type="dxa"/>
            </w:tcMar>
            <w:shd w:fill="F8F9FA" w:val="clear"/>
          </w:tcPr>
          <w:p>
            <w:pPr>
              <w:jc w:val="left"/>
            </w:pPr>
            <w:r/>
            <w:r>
              <w:rPr>
                <w:rFonts w:ascii="Calibri" w:hAnsi="Calibri"/>
                <w:color w:val="343A40"/>
                <w:sz w:val="18"/>
              </w:rPr>
              <w:t>Do not copy their specific corporate imagery or proprietary structural layouts verbatim. Adapt the 'feel' rather than the exact wireframe.</w:t>
            </w:r>
          </w:p>
        </w:tc>
      </w:tr>
    </w:tbl>
    <w:p>
      <w:pPr>
        <w:spacing w:after="80"/>
      </w:pPr>
    </w:p>
    <w:p>
      <w:pPr>
        <w:pStyle w:val="Heading2"/>
      </w:pPr>
      <w:r>
        <w:t>2. Pet Financial (Regulatory Compliance)</w:t>
      </w:r>
    </w:p>
    <w:p>
      <w:r>
        <w:rPr>
          <w:rFonts w:ascii="Calibri" w:hAnsi="Calibri"/>
          <w:b w:val="0"/>
          <w:i w:val="0"/>
          <w:color w:val="343A40"/>
          <w:sz w:val="21"/>
        </w:rPr>
        <w:t>Pet Financial provides a benchmark for integrating necessary regulatory content without degrading the user experience.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2880"/>
            <w:shd w:fill="1B2A4A" w:val="clear"/>
            <w:vAlign w:val="center"/>
            <w:tcMar>
              <w:top w:w="60" w:type="dxa"/>
              <w:bottom w:w="60" w:type="dxa"/>
              <w:start w:w="80" w:type="dxa"/>
              <w:end w:w="80" w:type="dxa"/>
            </w:tcMar>
          </w:tcPr>
          <w:p>
            <w:pPr>
              <w:jc w:val="left"/>
            </w:pPr>
            <w:r/>
            <w:r>
              <w:rPr>
                <w:rFonts w:ascii="Calibri" w:hAnsi="Calibri"/>
                <w:b/>
                <w:color w:val="FFFFFF"/>
                <w:sz w:val="19"/>
              </w:rPr>
              <w:t>Attribute</w:t>
            </w:r>
          </w:p>
        </w:tc>
        <w:tc>
          <w:tcPr>
            <w:tcW w:type="dxa" w:w="7200"/>
            <w:shd w:fill="1B2A4A" w:val="clear"/>
            <w:vAlign w:val="center"/>
            <w:tcMar>
              <w:top w:w="60" w:type="dxa"/>
              <w:bottom w:w="60" w:type="dxa"/>
              <w:start w:w="80" w:type="dxa"/>
              <w:end w:w="80" w:type="dxa"/>
            </w:tcMar>
          </w:tcPr>
          <w:p>
            <w:pPr>
              <w:jc w:val="left"/>
            </w:pPr>
            <w:r/>
            <w:r>
              <w:rPr>
                <w:rFonts w:ascii="Calibri" w:hAnsi="Calibri"/>
                <w:b/>
                <w:color w:val="FFFFFF"/>
                <w:sz w:val="19"/>
              </w:rPr>
              <w:t>Observation / Recommendation</w:t>
            </w:r>
          </w:p>
        </w:tc>
      </w:tr>
      <w:tr>
        <w:tc>
          <w:tcPr>
            <w:tcW w:type="dxa" w:w="2880"/>
            <w:vAlign w:val="center"/>
            <w:tcMar>
              <w:top w:w="60" w:type="dxa"/>
              <w:bottom w:w="60" w:type="dxa"/>
              <w:start w:w="80" w:type="dxa"/>
              <w:end w:w="80" w:type="dxa"/>
            </w:tcMar>
          </w:tcPr>
          <w:p>
            <w:pPr>
              <w:jc w:val="left"/>
            </w:pPr>
            <w:r/>
            <w:r>
              <w:rPr>
                <w:rFonts w:ascii="Calibri" w:hAnsi="Calibri"/>
                <w:color w:val="343A40"/>
                <w:sz w:val="18"/>
              </w:rPr>
              <w:t>Disclaimer Integration</w:t>
            </w:r>
          </w:p>
        </w:tc>
        <w:tc>
          <w:tcPr>
            <w:tcW w:type="dxa" w:w="7200"/>
            <w:vAlign w:val="center"/>
            <w:tcMar>
              <w:top w:w="60" w:type="dxa"/>
              <w:bottom w:w="60" w:type="dxa"/>
              <w:start w:w="80" w:type="dxa"/>
              <w:end w:w="80" w:type="dxa"/>
            </w:tcMar>
          </w:tcPr>
          <w:p>
            <w:pPr>
              <w:jc w:val="left"/>
            </w:pPr>
            <w:r/>
            <w:r>
              <w:rPr>
                <w:rFonts w:ascii="Calibri" w:hAnsi="Calibri"/>
                <w:color w:val="343A40"/>
                <w:sz w:val="18"/>
              </w:rPr>
              <w:t>Disclaimers are present but visually subdued (smaller font, lower contrast) so they don't disrupt the primary narrative. Action: Standardize a 'Small/Caption' text style for regulatory notes.</w:t>
            </w:r>
          </w:p>
        </w:tc>
      </w:tr>
      <w:tr>
        <w:tc>
          <w:tcPr>
            <w:tcW w:type="dxa" w:w="2880"/>
            <w:vAlign w:val="center"/>
            <w:tcMar>
              <w:top w:w="60" w:type="dxa"/>
              <w:bottom w:w="60" w:type="dxa"/>
              <w:start w:w="80" w:type="dxa"/>
              <w:end w:w="80" w:type="dxa"/>
            </w:tcMar>
            <w:shd w:fill="F8F9FA" w:val="clear"/>
          </w:tcPr>
          <w:p>
            <w:pPr>
              <w:jc w:val="left"/>
            </w:pPr>
            <w:r/>
            <w:r>
              <w:rPr>
                <w:rFonts w:ascii="Calibri" w:hAnsi="Calibri"/>
                <w:color w:val="343A40"/>
                <w:sz w:val="18"/>
              </w:rPr>
              <w:t>Terminology</w:t>
            </w:r>
          </w:p>
        </w:tc>
        <w:tc>
          <w:tcPr>
            <w:tcW w:type="dxa" w:w="7200"/>
            <w:vAlign w:val="center"/>
            <w:tcMar>
              <w:top w:w="60" w:type="dxa"/>
              <w:bottom w:w="60" w:type="dxa"/>
              <w:start w:w="80" w:type="dxa"/>
              <w:end w:w="80" w:type="dxa"/>
            </w:tcMar>
            <w:shd w:fill="F8F9FA" w:val="clear"/>
          </w:tcPr>
          <w:p>
            <w:pPr>
              <w:jc w:val="left"/>
            </w:pPr>
            <w:r/>
            <w:r>
              <w:rPr>
                <w:rFonts w:ascii="Calibri" w:hAnsi="Calibri"/>
                <w:color w:val="343A40"/>
                <w:sz w:val="18"/>
              </w:rPr>
              <w:t>Precise use of distribution terminology. Action: Ensure all service descriptions align with the AMFI/MFD compliance framework established in Document 01.</w:t>
            </w:r>
          </w:p>
        </w:tc>
      </w:tr>
      <w:tr>
        <w:tc>
          <w:tcPr>
            <w:tcW w:type="dxa" w:w="2880"/>
            <w:vAlign w:val="center"/>
            <w:tcMar>
              <w:top w:w="60" w:type="dxa"/>
              <w:bottom w:w="60" w:type="dxa"/>
              <w:start w:w="80" w:type="dxa"/>
              <w:end w:w="80" w:type="dxa"/>
            </w:tcMar>
          </w:tcPr>
          <w:p>
            <w:pPr>
              <w:jc w:val="left"/>
            </w:pPr>
            <w:r/>
            <w:r>
              <w:rPr>
                <w:rFonts w:ascii="Calibri" w:hAnsi="Calibri"/>
                <w:color w:val="343A40"/>
                <w:sz w:val="18"/>
              </w:rPr>
              <w:t>What to Avoid</w:t>
            </w:r>
          </w:p>
        </w:tc>
        <w:tc>
          <w:tcPr>
            <w:tcW w:type="dxa" w:w="7200"/>
            <w:vAlign w:val="center"/>
            <w:tcMar>
              <w:top w:w="60" w:type="dxa"/>
              <w:bottom w:w="60" w:type="dxa"/>
              <w:start w:w="80" w:type="dxa"/>
              <w:end w:w="80" w:type="dxa"/>
            </w:tcMar>
          </w:tcPr>
          <w:p>
            <w:pPr>
              <w:jc w:val="left"/>
            </w:pPr>
            <w:r/>
            <w:r>
              <w:rPr>
                <w:rFonts w:ascii="Calibri" w:hAnsi="Calibri"/>
                <w:color w:val="343A40"/>
                <w:sz w:val="18"/>
              </w:rPr>
              <w:t>Their visual design is slightly dated and utilitarian. Do not emulate their color scheme, button styling, or navigational density.</w:t>
            </w:r>
          </w:p>
        </w:tc>
      </w:tr>
    </w:tbl>
    <w:p>
      <w:pPr>
        <w:spacing w:after="80"/>
      </w:pPr>
    </w:p>
    <w:p>
      <w:pPr>
        <w:pStyle w:val="Heading2"/>
      </w:pPr>
      <w:r>
        <w:t>3. Ocean (Information Hierarchy)</w:t>
      </w:r>
    </w:p>
    <w:p>
      <w:r>
        <w:rPr>
          <w:rFonts w:ascii="Calibri" w:hAnsi="Calibri"/>
          <w:b w:val="0"/>
          <w:i w:val="0"/>
          <w:color w:val="343A40"/>
          <w:sz w:val="21"/>
        </w:rPr>
        <w:t>Ocean excels in organizing complex data and presenting credibility indicators effectively.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2880"/>
            <w:shd w:fill="1B2A4A" w:val="clear"/>
            <w:vAlign w:val="center"/>
            <w:tcMar>
              <w:top w:w="60" w:type="dxa"/>
              <w:bottom w:w="60" w:type="dxa"/>
              <w:start w:w="80" w:type="dxa"/>
              <w:end w:w="80" w:type="dxa"/>
            </w:tcMar>
          </w:tcPr>
          <w:p>
            <w:pPr>
              <w:jc w:val="left"/>
            </w:pPr>
            <w:r/>
            <w:r>
              <w:rPr>
                <w:rFonts w:ascii="Calibri" w:hAnsi="Calibri"/>
                <w:b/>
                <w:color w:val="FFFFFF"/>
                <w:sz w:val="19"/>
              </w:rPr>
              <w:t>Attribute</w:t>
            </w:r>
          </w:p>
        </w:tc>
        <w:tc>
          <w:tcPr>
            <w:tcW w:type="dxa" w:w="7200"/>
            <w:shd w:fill="1B2A4A" w:val="clear"/>
            <w:vAlign w:val="center"/>
            <w:tcMar>
              <w:top w:w="60" w:type="dxa"/>
              <w:bottom w:w="60" w:type="dxa"/>
              <w:start w:w="80" w:type="dxa"/>
              <w:end w:w="80" w:type="dxa"/>
            </w:tcMar>
          </w:tcPr>
          <w:p>
            <w:pPr>
              <w:jc w:val="left"/>
            </w:pPr>
            <w:r/>
            <w:r>
              <w:rPr>
                <w:rFonts w:ascii="Calibri" w:hAnsi="Calibri"/>
                <w:b/>
                <w:color w:val="FFFFFF"/>
                <w:sz w:val="19"/>
              </w:rPr>
              <w:t>Observation / Recommendation</w:t>
            </w:r>
          </w:p>
        </w:tc>
      </w:tr>
      <w:tr>
        <w:tc>
          <w:tcPr>
            <w:tcW w:type="dxa" w:w="2880"/>
            <w:vAlign w:val="center"/>
            <w:tcMar>
              <w:top w:w="60" w:type="dxa"/>
              <w:bottom w:w="60" w:type="dxa"/>
              <w:start w:w="80" w:type="dxa"/>
              <w:end w:w="80" w:type="dxa"/>
            </w:tcMar>
          </w:tcPr>
          <w:p>
            <w:pPr>
              <w:jc w:val="left"/>
            </w:pPr>
            <w:r/>
            <w:r>
              <w:rPr>
                <w:rFonts w:ascii="Calibri" w:hAnsi="Calibri"/>
                <w:color w:val="343A40"/>
                <w:sz w:val="18"/>
              </w:rPr>
              <w:t>Data Presentation</w:t>
            </w:r>
          </w:p>
        </w:tc>
        <w:tc>
          <w:tcPr>
            <w:tcW w:type="dxa" w:w="7200"/>
            <w:vAlign w:val="center"/>
            <w:tcMar>
              <w:top w:w="60" w:type="dxa"/>
              <w:bottom w:w="60" w:type="dxa"/>
              <w:start w:w="80" w:type="dxa"/>
              <w:end w:w="80" w:type="dxa"/>
            </w:tcMar>
          </w:tcPr>
          <w:p>
            <w:pPr>
              <w:jc w:val="left"/>
            </w:pPr>
            <w:r/>
            <w:r>
              <w:rPr>
                <w:rFonts w:ascii="Calibri" w:hAnsi="Calibri"/>
                <w:color w:val="343A40"/>
                <w:sz w:val="18"/>
              </w:rPr>
              <w:t>Clean, borderless tables and well-spaced grid layouts for statistics. Action: Use 'Card' components with ample internal padding (min 32px) for data points.</w:t>
            </w:r>
          </w:p>
        </w:tc>
      </w:tr>
      <w:tr>
        <w:tc>
          <w:tcPr>
            <w:tcW w:type="dxa" w:w="2880"/>
            <w:vAlign w:val="center"/>
            <w:tcMar>
              <w:top w:w="60" w:type="dxa"/>
              <w:bottom w:w="60" w:type="dxa"/>
              <w:start w:w="80" w:type="dxa"/>
              <w:end w:w="80" w:type="dxa"/>
            </w:tcMar>
            <w:shd w:fill="F8F9FA" w:val="clear"/>
          </w:tcPr>
          <w:p>
            <w:pPr>
              <w:jc w:val="left"/>
            </w:pPr>
            <w:r/>
            <w:r>
              <w:rPr>
                <w:rFonts w:ascii="Calibri" w:hAnsi="Calibri"/>
                <w:color w:val="343A40"/>
                <w:sz w:val="18"/>
              </w:rPr>
              <w:t>Credibility</w:t>
            </w:r>
          </w:p>
        </w:tc>
        <w:tc>
          <w:tcPr>
            <w:tcW w:type="dxa" w:w="7200"/>
            <w:vAlign w:val="center"/>
            <w:tcMar>
              <w:top w:w="60" w:type="dxa"/>
              <w:bottom w:w="60" w:type="dxa"/>
              <w:start w:w="80" w:type="dxa"/>
              <w:end w:w="80" w:type="dxa"/>
            </w:tcMar>
            <w:shd w:fill="F8F9FA" w:val="clear"/>
          </w:tcPr>
          <w:p>
            <w:pPr>
              <w:jc w:val="left"/>
            </w:pPr>
            <w:r/>
            <w:r>
              <w:rPr>
                <w:rFonts w:ascii="Calibri" w:hAnsi="Calibri"/>
                <w:color w:val="343A40"/>
                <w:sz w:val="18"/>
              </w:rPr>
              <w:t>Strategic placement of trust markers (logos, performance metrics). Action: Include a dedicated 'Trust/Metrics' band on the homepage using subdued monochrome logos.</w:t>
            </w:r>
          </w:p>
        </w:tc>
      </w:tr>
      <w:tr>
        <w:tc>
          <w:tcPr>
            <w:tcW w:type="dxa" w:w="2880"/>
            <w:vAlign w:val="center"/>
            <w:tcMar>
              <w:top w:w="60" w:type="dxa"/>
              <w:bottom w:w="60" w:type="dxa"/>
              <w:start w:w="80" w:type="dxa"/>
              <w:end w:w="80" w:type="dxa"/>
            </w:tcMar>
          </w:tcPr>
          <w:p>
            <w:pPr>
              <w:jc w:val="left"/>
            </w:pPr>
            <w:r/>
            <w:r>
              <w:rPr>
                <w:rFonts w:ascii="Calibri" w:hAnsi="Calibri"/>
                <w:color w:val="343A40"/>
                <w:sz w:val="18"/>
              </w:rPr>
              <w:t>What to Avoid</w:t>
            </w:r>
          </w:p>
        </w:tc>
        <w:tc>
          <w:tcPr>
            <w:tcW w:type="dxa" w:w="7200"/>
            <w:vAlign w:val="center"/>
            <w:tcMar>
              <w:top w:w="60" w:type="dxa"/>
              <w:bottom w:w="60" w:type="dxa"/>
              <w:start w:w="80" w:type="dxa"/>
              <w:end w:w="80" w:type="dxa"/>
            </w:tcMar>
          </w:tcPr>
          <w:p>
            <w:pPr>
              <w:jc w:val="left"/>
            </w:pPr>
            <w:r/>
            <w:r>
              <w:rPr>
                <w:rFonts w:ascii="Calibri" w:hAnsi="Calibri"/>
                <w:color w:val="343A40"/>
                <w:sz w:val="18"/>
              </w:rPr>
              <w:t>Avoid their more experimental or trendy visual motifs that might detract from a conservative financial persona.</w:t>
            </w:r>
          </w:p>
        </w:tc>
      </w:tr>
    </w:tbl>
    <w:p>
      <w:pPr>
        <w:spacing w:after="80"/>
      </w:pPr>
    </w:p>
    <w:p>
      <w:pPr>
        <w:pStyle w:val="Heading2"/>
      </w:pPr>
      <w:r>
        <w:t>4. Fineprint (Content Readability)</w:t>
      </w:r>
    </w:p>
    <w:p>
      <w:r>
        <w:rPr>
          <w:rFonts w:ascii="Calibri" w:hAnsi="Calibri"/>
          <w:b w:val="0"/>
          <w:i w:val="0"/>
          <w:color w:val="343A40"/>
          <w:sz w:val="21"/>
        </w:rPr>
        <w:t>Fineprint demonstrates how to make long-form textual content highly readable and engaging.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2880"/>
            <w:shd w:fill="1B2A4A" w:val="clear"/>
            <w:vAlign w:val="center"/>
            <w:tcMar>
              <w:top w:w="60" w:type="dxa"/>
              <w:bottom w:w="60" w:type="dxa"/>
              <w:start w:w="80" w:type="dxa"/>
              <w:end w:w="80" w:type="dxa"/>
            </w:tcMar>
          </w:tcPr>
          <w:p>
            <w:pPr>
              <w:jc w:val="left"/>
            </w:pPr>
            <w:r/>
            <w:r>
              <w:rPr>
                <w:rFonts w:ascii="Calibri" w:hAnsi="Calibri"/>
                <w:b/>
                <w:color w:val="FFFFFF"/>
                <w:sz w:val="19"/>
              </w:rPr>
              <w:t>Attribute</w:t>
            </w:r>
          </w:p>
        </w:tc>
        <w:tc>
          <w:tcPr>
            <w:tcW w:type="dxa" w:w="7200"/>
            <w:shd w:fill="1B2A4A" w:val="clear"/>
            <w:vAlign w:val="center"/>
            <w:tcMar>
              <w:top w:w="60" w:type="dxa"/>
              <w:bottom w:w="60" w:type="dxa"/>
              <w:start w:w="80" w:type="dxa"/>
              <w:end w:w="80" w:type="dxa"/>
            </w:tcMar>
          </w:tcPr>
          <w:p>
            <w:pPr>
              <w:jc w:val="left"/>
            </w:pPr>
            <w:r/>
            <w:r>
              <w:rPr>
                <w:rFonts w:ascii="Calibri" w:hAnsi="Calibri"/>
                <w:b/>
                <w:color w:val="FFFFFF"/>
                <w:sz w:val="19"/>
              </w:rPr>
              <w:t>Observation / Recommendation</w:t>
            </w:r>
          </w:p>
        </w:tc>
      </w:tr>
      <w:tr>
        <w:tc>
          <w:tcPr>
            <w:tcW w:type="dxa" w:w="2880"/>
            <w:vAlign w:val="center"/>
            <w:tcMar>
              <w:top w:w="60" w:type="dxa"/>
              <w:bottom w:w="60" w:type="dxa"/>
              <w:start w:w="80" w:type="dxa"/>
              <w:end w:w="80" w:type="dxa"/>
            </w:tcMar>
          </w:tcPr>
          <w:p>
            <w:pPr>
              <w:jc w:val="left"/>
            </w:pPr>
            <w:r/>
            <w:r>
              <w:rPr>
                <w:rFonts w:ascii="Calibri" w:hAnsi="Calibri"/>
                <w:color w:val="343A40"/>
                <w:sz w:val="18"/>
              </w:rPr>
              <w:t>Article Layout</w:t>
            </w:r>
          </w:p>
        </w:tc>
        <w:tc>
          <w:tcPr>
            <w:tcW w:type="dxa" w:w="7200"/>
            <w:vAlign w:val="center"/>
            <w:tcMar>
              <w:top w:w="60" w:type="dxa"/>
              <w:bottom w:w="60" w:type="dxa"/>
              <w:start w:w="80" w:type="dxa"/>
              <w:end w:w="80" w:type="dxa"/>
            </w:tcMar>
          </w:tcPr>
          <w:p>
            <w:pPr>
              <w:jc w:val="left"/>
            </w:pPr>
            <w:r/>
            <w:r>
              <w:rPr>
                <w:rFonts w:ascii="Calibri" w:hAnsi="Calibri"/>
                <w:color w:val="343A40"/>
                <w:sz w:val="18"/>
              </w:rPr>
              <w:t>Narrow max-width for text blocks (approx 65-75 characters per line) to optimize readability. Action: Restrict article body containers to 800px max-width.</w:t>
            </w:r>
          </w:p>
        </w:tc>
      </w:tr>
      <w:tr>
        <w:tc>
          <w:tcPr>
            <w:tcW w:type="dxa" w:w="2880"/>
            <w:vAlign w:val="center"/>
            <w:tcMar>
              <w:top w:w="60" w:type="dxa"/>
              <w:bottom w:w="60" w:type="dxa"/>
              <w:start w:w="80" w:type="dxa"/>
              <w:end w:w="80" w:type="dxa"/>
            </w:tcMar>
            <w:shd w:fill="F8F9FA" w:val="clear"/>
          </w:tcPr>
          <w:p>
            <w:pPr>
              <w:jc w:val="left"/>
            </w:pPr>
            <w:r/>
            <w:r>
              <w:rPr>
                <w:rFonts w:ascii="Calibri" w:hAnsi="Calibri"/>
                <w:color w:val="343A40"/>
                <w:sz w:val="18"/>
              </w:rPr>
              <w:t>Inline Elements</w:t>
            </w:r>
          </w:p>
        </w:tc>
        <w:tc>
          <w:tcPr>
            <w:tcW w:type="dxa" w:w="7200"/>
            <w:vAlign w:val="center"/>
            <w:tcMar>
              <w:top w:w="60" w:type="dxa"/>
              <w:bottom w:w="60" w:type="dxa"/>
              <w:start w:w="80" w:type="dxa"/>
              <w:end w:w="80" w:type="dxa"/>
            </w:tcMar>
            <w:shd w:fill="F8F9FA" w:val="clear"/>
          </w:tcPr>
          <w:p>
            <w:pPr>
              <w:jc w:val="left"/>
            </w:pPr>
            <w:r/>
            <w:r>
              <w:rPr>
                <w:rFonts w:ascii="Calibri" w:hAnsi="Calibri"/>
                <w:color w:val="343A40"/>
                <w:sz w:val="18"/>
              </w:rPr>
              <w:t>Elegant pull quotes and data callouts. Action: Design a specific 'Insight Callout' component for the Research &amp; Insights section.</w:t>
            </w:r>
          </w:p>
        </w:tc>
      </w:tr>
      <w:tr>
        <w:tc>
          <w:tcPr>
            <w:tcW w:type="dxa" w:w="2880"/>
            <w:vAlign w:val="center"/>
            <w:tcMar>
              <w:top w:w="60" w:type="dxa"/>
              <w:bottom w:w="60" w:type="dxa"/>
              <w:start w:w="80" w:type="dxa"/>
              <w:end w:w="80" w:type="dxa"/>
            </w:tcMar>
          </w:tcPr>
          <w:p>
            <w:pPr>
              <w:jc w:val="left"/>
            </w:pPr>
            <w:r/>
            <w:r>
              <w:rPr>
                <w:rFonts w:ascii="Calibri" w:hAnsi="Calibri"/>
                <w:color w:val="343A40"/>
                <w:sz w:val="18"/>
              </w:rPr>
              <w:t>What to Avoid</w:t>
            </w:r>
          </w:p>
        </w:tc>
        <w:tc>
          <w:tcPr>
            <w:tcW w:type="dxa" w:w="7200"/>
            <w:vAlign w:val="center"/>
            <w:tcMar>
              <w:top w:w="60" w:type="dxa"/>
              <w:bottom w:w="60" w:type="dxa"/>
              <w:start w:w="80" w:type="dxa"/>
              <w:end w:w="80" w:type="dxa"/>
            </w:tcMar>
          </w:tcPr>
          <w:p>
            <w:pPr>
              <w:jc w:val="left"/>
            </w:pPr>
            <w:r/>
            <w:r>
              <w:rPr>
                <w:rFonts w:ascii="Calibri" w:hAnsi="Calibri"/>
                <w:color w:val="343A40"/>
                <w:sz w:val="18"/>
              </w:rPr>
              <w:t>Do not carry over email-specific patterns (like aggressive subscription prompts in the middle of text) to the core web experience.</w:t>
            </w:r>
          </w:p>
        </w:tc>
      </w:tr>
    </w:tbl>
    <w:p>
      <w:pPr>
        <w:spacing w:after="80"/>
      </w:pPr>
    </w:p>
    <w:p>
      <w:pPr>
        <w:pStyle w:val="Heading2"/>
      </w:pPr>
      <w:r>
        <w:t>5. FundsBazaar (Functional Utility)</w:t>
      </w:r>
    </w:p>
    <w:p>
      <w:r>
        <w:rPr>
          <w:rFonts w:ascii="Calibri" w:hAnsi="Calibri"/>
          <w:b w:val="0"/>
          <w:i w:val="0"/>
          <w:color w:val="343A40"/>
          <w:sz w:val="21"/>
        </w:rPr>
        <w:t>While aesthetically different from our target, FundsBazaar provides patterns for functional investor tools.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2880"/>
            <w:shd w:fill="1B2A4A" w:val="clear"/>
            <w:vAlign w:val="center"/>
            <w:tcMar>
              <w:top w:w="60" w:type="dxa"/>
              <w:bottom w:w="60" w:type="dxa"/>
              <w:start w:w="80" w:type="dxa"/>
              <w:end w:w="80" w:type="dxa"/>
            </w:tcMar>
          </w:tcPr>
          <w:p>
            <w:pPr>
              <w:jc w:val="left"/>
            </w:pPr>
            <w:r/>
            <w:r>
              <w:rPr>
                <w:rFonts w:ascii="Calibri" w:hAnsi="Calibri"/>
                <w:b/>
                <w:color w:val="FFFFFF"/>
                <w:sz w:val="19"/>
              </w:rPr>
              <w:t>Attribute</w:t>
            </w:r>
          </w:p>
        </w:tc>
        <w:tc>
          <w:tcPr>
            <w:tcW w:type="dxa" w:w="7200"/>
            <w:shd w:fill="1B2A4A" w:val="clear"/>
            <w:vAlign w:val="center"/>
            <w:tcMar>
              <w:top w:w="60" w:type="dxa"/>
              <w:bottom w:w="60" w:type="dxa"/>
              <w:start w:w="80" w:type="dxa"/>
              <w:end w:w="80" w:type="dxa"/>
            </w:tcMar>
          </w:tcPr>
          <w:p>
            <w:pPr>
              <w:jc w:val="left"/>
            </w:pPr>
            <w:r/>
            <w:r>
              <w:rPr>
                <w:rFonts w:ascii="Calibri" w:hAnsi="Calibri"/>
                <w:b/>
                <w:color w:val="FFFFFF"/>
                <w:sz w:val="19"/>
              </w:rPr>
              <w:t>Observation / Recommendation</w:t>
            </w:r>
          </w:p>
        </w:tc>
      </w:tr>
      <w:tr>
        <w:tc>
          <w:tcPr>
            <w:tcW w:type="dxa" w:w="2880"/>
            <w:vAlign w:val="center"/>
            <w:tcMar>
              <w:top w:w="60" w:type="dxa"/>
              <w:bottom w:w="60" w:type="dxa"/>
              <w:start w:w="80" w:type="dxa"/>
              <w:end w:w="80" w:type="dxa"/>
            </w:tcMar>
          </w:tcPr>
          <w:p>
            <w:pPr>
              <w:jc w:val="left"/>
            </w:pPr>
            <w:r/>
            <w:r>
              <w:rPr>
                <w:rFonts w:ascii="Calibri" w:hAnsi="Calibri"/>
                <w:color w:val="343A40"/>
                <w:sz w:val="18"/>
              </w:rPr>
              <w:t>Navigation</w:t>
            </w:r>
          </w:p>
        </w:tc>
        <w:tc>
          <w:tcPr>
            <w:tcW w:type="dxa" w:w="7200"/>
            <w:vAlign w:val="center"/>
            <w:tcMar>
              <w:top w:w="60" w:type="dxa"/>
              <w:bottom w:w="60" w:type="dxa"/>
              <w:start w:w="80" w:type="dxa"/>
              <w:end w:w="80" w:type="dxa"/>
            </w:tcMar>
          </w:tcPr>
          <w:p>
            <w:pPr>
              <w:jc w:val="left"/>
            </w:pPr>
            <w:r/>
            <w:r>
              <w:rPr>
                <w:rFonts w:ascii="Calibri" w:hAnsi="Calibri"/>
                <w:color w:val="343A40"/>
                <w:sz w:val="18"/>
              </w:rPr>
              <w:t>Clear separation between 'Public Site' and 'Investor Portal' logic. Action: Make the 'Client Login' CTA highly distinct (e.g., solid Gold button in the top right).</w:t>
            </w:r>
          </w:p>
        </w:tc>
      </w:tr>
      <w:tr>
        <w:tc>
          <w:tcPr>
            <w:tcW w:type="dxa" w:w="2880"/>
            <w:vAlign w:val="center"/>
            <w:tcMar>
              <w:top w:w="60" w:type="dxa"/>
              <w:bottom w:w="60" w:type="dxa"/>
              <w:start w:w="80" w:type="dxa"/>
              <w:end w:w="80" w:type="dxa"/>
            </w:tcMar>
            <w:shd w:fill="F8F9FA" w:val="clear"/>
          </w:tcPr>
          <w:p>
            <w:pPr>
              <w:jc w:val="left"/>
            </w:pPr>
            <w:r/>
            <w:r>
              <w:rPr>
                <w:rFonts w:ascii="Calibri" w:hAnsi="Calibri"/>
                <w:color w:val="343A40"/>
                <w:sz w:val="18"/>
              </w:rPr>
              <w:t>Onboarding</w:t>
            </w:r>
          </w:p>
        </w:tc>
        <w:tc>
          <w:tcPr>
            <w:tcW w:type="dxa" w:w="7200"/>
            <w:vAlign w:val="center"/>
            <w:tcMar>
              <w:top w:w="60" w:type="dxa"/>
              <w:bottom w:w="60" w:type="dxa"/>
              <w:start w:w="80" w:type="dxa"/>
              <w:end w:w="80" w:type="dxa"/>
            </w:tcMar>
            <w:shd w:fill="F8F9FA" w:val="clear"/>
          </w:tcPr>
          <w:p>
            <w:pPr>
              <w:jc w:val="left"/>
            </w:pPr>
            <w:r/>
            <w:r>
              <w:rPr>
                <w:rFonts w:ascii="Calibri" w:hAnsi="Calibri"/>
                <w:color w:val="343A40"/>
                <w:sz w:val="18"/>
              </w:rPr>
              <w:t>Step-by-step progressive disclosure for complex flows. Action: Apply this logic to contact and inquiry forms (multi-step rather than one massive form).</w:t>
            </w:r>
          </w:p>
        </w:tc>
      </w:tr>
      <w:tr>
        <w:tc>
          <w:tcPr>
            <w:tcW w:type="dxa" w:w="2880"/>
            <w:vAlign w:val="center"/>
            <w:tcMar>
              <w:top w:w="60" w:type="dxa"/>
              <w:bottom w:w="60" w:type="dxa"/>
              <w:start w:w="80" w:type="dxa"/>
              <w:end w:w="80" w:type="dxa"/>
            </w:tcMar>
          </w:tcPr>
          <w:p>
            <w:pPr>
              <w:jc w:val="left"/>
            </w:pPr>
            <w:r/>
            <w:r>
              <w:rPr>
                <w:rFonts w:ascii="Calibri" w:hAnsi="Calibri"/>
                <w:color w:val="343A40"/>
                <w:sz w:val="18"/>
              </w:rPr>
              <w:t>What to Avoid</w:t>
            </w:r>
          </w:p>
        </w:tc>
        <w:tc>
          <w:tcPr>
            <w:tcW w:type="dxa" w:w="7200"/>
            <w:vAlign w:val="center"/>
            <w:tcMar>
              <w:top w:w="60" w:type="dxa"/>
              <w:bottom w:w="60" w:type="dxa"/>
              <w:start w:w="80" w:type="dxa"/>
              <w:end w:w="80" w:type="dxa"/>
            </w:tcMar>
          </w:tcPr>
          <w:p>
            <w:pPr>
              <w:jc w:val="left"/>
            </w:pPr>
            <w:r/>
            <w:r>
              <w:rPr>
                <w:rFonts w:ascii="Calibri" w:hAnsi="Calibri"/>
                <w:color w:val="343A40"/>
                <w:sz w:val="18"/>
              </w:rPr>
              <w:t>High visual clutter, dense dashboards, and overly aggressive color coding. Maintain our minimalist aesthetic even in functional areas.</w:t>
            </w:r>
          </w:p>
        </w:tc>
      </w:tr>
    </w:tbl>
    <w:p>
      <w:pPr>
        <w:spacing w:after="80"/>
      </w:pPr>
    </w:p>
    <w:p>
      <w:r>
        <w:br w:type="page"/>
      </w:r>
    </w:p>
    <w:p>
      <w:pPr>
        <w:pStyle w:val="Heading1"/>
      </w:pPr>
      <w:r>
        <w:t>Typography System</w:t>
      </w:r>
    </w:p>
    <w:p>
      <w:r>
        <w:rPr>
          <w:rFonts w:ascii="Calibri" w:hAnsi="Calibri"/>
          <w:b w:val="0"/>
          <w:i w:val="0"/>
          <w:color w:val="343A40"/>
          <w:sz w:val="21"/>
        </w:rPr>
        <w:t>The typographic system is built on precision. We utilize a highly legible, premium sans-serif primary typeface to ensure absolute clarity of financial information, supported by a structured scale.</w:t>
      </w:r>
    </w:p>
    <w:p>
      <w:pPr>
        <w:pStyle w:val="Heading3"/>
      </w:pPr>
      <w:r>
        <w:t>Font Recommendations</w:t>
      </w:r>
    </w:p>
    <w:p>
      <w:pPr>
        <w:pStyle w:val="ListBullet"/>
        <w:spacing w:before="40" w:after="60"/>
      </w:pPr>
      <w:r>
        <w:rPr>
          <w:rFonts w:ascii="Calibri" w:hAnsi="Calibri"/>
          <w:color w:val="343A40"/>
          <w:sz w:val="21"/>
        </w:rPr>
        <w:t>Primary Typeface: Inter or Roboto (Clean, neo-grotesque, excellent legibility for numbers and data).</w:t>
      </w:r>
    </w:p>
    <w:p>
      <w:pPr>
        <w:pStyle w:val="ListBullet"/>
        <w:spacing w:before="40" w:after="60"/>
      </w:pPr>
      <w:r>
        <w:rPr>
          <w:rFonts w:ascii="Calibri" w:hAnsi="Calibri"/>
          <w:color w:val="343A40"/>
          <w:sz w:val="21"/>
        </w:rPr>
        <w:t>Alternative Premium: 'Geist' or 'SF Pro' (if licensing permits).</w:t>
      </w:r>
    </w:p>
    <w:p>
      <w:pPr>
        <w:pStyle w:val="ListBullet"/>
        <w:spacing w:before="40" w:after="60"/>
      </w:pPr>
      <w:r>
        <w:rPr>
          <w:rFonts w:ascii="Calibri" w:hAnsi="Calibri"/>
          <w:color w:val="343A40"/>
          <w:sz w:val="21"/>
        </w:rPr>
        <w:t>Fallback: Helvetica Neue, Arial, sans-serif.</w:t>
      </w:r>
    </w:p>
    <w:p>
      <w:pPr>
        <w:pStyle w:val="Heading3"/>
      </w:pPr>
      <w:r>
        <w:t>Typographic Scale (Desktop Reference)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48"/>
        <w:gridCol w:w="1748"/>
        <w:gridCol w:w="1748"/>
        <w:gridCol w:w="1748"/>
        <w:gridCol w:w="1748"/>
      </w:tblGrid>
      <w:tr>
        <w:tc>
          <w:tcPr>
            <w:tcW w:type="dxa" w:w="1728"/>
            <w:shd w:fill="1B2A4A" w:val="clear"/>
            <w:vAlign w:val="center"/>
            <w:tcMar>
              <w:top w:w="60" w:type="dxa"/>
              <w:bottom w:w="60" w:type="dxa"/>
              <w:start w:w="80" w:type="dxa"/>
              <w:end w:w="80" w:type="dxa"/>
            </w:tcMar>
          </w:tcPr>
          <w:p>
            <w:pPr>
              <w:jc w:val="left"/>
            </w:pPr>
            <w:r/>
            <w:r>
              <w:rPr>
                <w:rFonts w:ascii="Calibri" w:hAnsi="Calibri"/>
                <w:b/>
                <w:color w:val="FFFFFF"/>
                <w:sz w:val="19"/>
              </w:rPr>
              <w:t>Element</w:t>
            </w:r>
          </w:p>
        </w:tc>
        <w:tc>
          <w:tcPr>
            <w:tcW w:type="dxa" w:w="1728"/>
            <w:shd w:fill="1B2A4A" w:val="clear"/>
            <w:vAlign w:val="center"/>
            <w:tcMar>
              <w:top w:w="60" w:type="dxa"/>
              <w:bottom w:w="60" w:type="dxa"/>
              <w:start w:w="80" w:type="dxa"/>
              <w:end w:w="80" w:type="dxa"/>
            </w:tcMar>
          </w:tcPr>
          <w:p>
            <w:pPr>
              <w:jc w:val="left"/>
            </w:pPr>
            <w:r/>
            <w:r>
              <w:rPr>
                <w:rFonts w:ascii="Calibri" w:hAnsi="Calibri"/>
                <w:b/>
                <w:color w:val="FFFFFF"/>
                <w:sz w:val="19"/>
              </w:rPr>
              <w:t>Font Size</w:t>
            </w:r>
          </w:p>
        </w:tc>
        <w:tc>
          <w:tcPr>
            <w:tcW w:type="dxa" w:w="1728"/>
            <w:shd w:fill="1B2A4A" w:val="clear"/>
            <w:vAlign w:val="center"/>
            <w:tcMar>
              <w:top w:w="60" w:type="dxa"/>
              <w:bottom w:w="60" w:type="dxa"/>
              <w:start w:w="80" w:type="dxa"/>
              <w:end w:w="80" w:type="dxa"/>
            </w:tcMar>
          </w:tcPr>
          <w:p>
            <w:pPr>
              <w:jc w:val="left"/>
            </w:pPr>
            <w:r/>
            <w:r>
              <w:rPr>
                <w:rFonts w:ascii="Calibri" w:hAnsi="Calibri"/>
                <w:b/>
                <w:color w:val="FFFFFF"/>
                <w:sz w:val="19"/>
              </w:rPr>
              <w:t>Line Height</w:t>
            </w:r>
          </w:p>
        </w:tc>
        <w:tc>
          <w:tcPr>
            <w:tcW w:type="dxa" w:w="2160"/>
            <w:shd w:fill="1B2A4A" w:val="clear"/>
            <w:vAlign w:val="center"/>
            <w:tcMar>
              <w:top w:w="60" w:type="dxa"/>
              <w:bottom w:w="60" w:type="dxa"/>
              <w:start w:w="80" w:type="dxa"/>
              <w:end w:w="80" w:type="dxa"/>
            </w:tcMar>
          </w:tcPr>
          <w:p>
            <w:pPr>
              <w:jc w:val="left"/>
            </w:pPr>
            <w:r/>
            <w:r>
              <w:rPr>
                <w:rFonts w:ascii="Calibri" w:hAnsi="Calibri"/>
                <w:b/>
                <w:color w:val="FFFFFF"/>
                <w:sz w:val="19"/>
              </w:rPr>
              <w:t>Weight</w:t>
            </w:r>
          </w:p>
        </w:tc>
        <w:tc>
          <w:tcPr>
            <w:tcW w:type="dxa" w:w="3600"/>
            <w:shd w:fill="1B2A4A" w:val="clear"/>
            <w:vAlign w:val="center"/>
            <w:tcMar>
              <w:top w:w="60" w:type="dxa"/>
              <w:bottom w:w="60" w:type="dxa"/>
              <w:start w:w="80" w:type="dxa"/>
              <w:end w:w="80" w:type="dxa"/>
            </w:tcMar>
          </w:tcPr>
          <w:p>
            <w:pPr>
              <w:jc w:val="left"/>
            </w:pPr>
            <w:r/>
            <w:r>
              <w:rPr>
                <w:rFonts w:ascii="Calibri" w:hAnsi="Calibri"/>
                <w:b/>
                <w:color w:val="FFFFFF"/>
                <w:sz w:val="19"/>
              </w:rPr>
              <w:t>Usage</w:t>
            </w:r>
          </w:p>
        </w:tc>
      </w:tr>
      <w:tr>
        <w:tc>
          <w:tcPr>
            <w:tcW w:type="dxa" w:w="1728"/>
            <w:vAlign w:val="center"/>
            <w:tcMar>
              <w:top w:w="60" w:type="dxa"/>
              <w:bottom w:w="60" w:type="dxa"/>
              <w:start w:w="80" w:type="dxa"/>
              <w:end w:w="80" w:type="dxa"/>
            </w:tcMar>
          </w:tcPr>
          <w:p>
            <w:pPr>
              <w:jc w:val="left"/>
            </w:pPr>
            <w:r/>
            <w:r>
              <w:rPr>
                <w:rFonts w:ascii="Calibri" w:hAnsi="Calibri"/>
                <w:color w:val="343A40"/>
                <w:sz w:val="18"/>
              </w:rPr>
              <w:t>Display / Hero</w:t>
            </w:r>
          </w:p>
        </w:tc>
        <w:tc>
          <w:tcPr>
            <w:tcW w:type="dxa" w:w="1728"/>
            <w:vAlign w:val="center"/>
            <w:tcMar>
              <w:top w:w="60" w:type="dxa"/>
              <w:bottom w:w="60" w:type="dxa"/>
              <w:start w:w="80" w:type="dxa"/>
              <w:end w:w="80" w:type="dxa"/>
            </w:tcMar>
          </w:tcPr>
          <w:p>
            <w:pPr>
              <w:jc w:val="left"/>
            </w:pPr>
            <w:r/>
            <w:r>
              <w:rPr>
                <w:rFonts w:ascii="Calibri" w:hAnsi="Calibri"/>
                <w:color w:val="343A40"/>
                <w:sz w:val="18"/>
              </w:rPr>
              <w:t>56px (3.5rem)</w:t>
            </w:r>
          </w:p>
        </w:tc>
        <w:tc>
          <w:tcPr>
            <w:tcW w:type="dxa" w:w="1728"/>
            <w:vAlign w:val="center"/>
            <w:tcMar>
              <w:top w:w="60" w:type="dxa"/>
              <w:bottom w:w="60" w:type="dxa"/>
              <w:start w:w="80" w:type="dxa"/>
              <w:end w:w="80" w:type="dxa"/>
            </w:tcMar>
          </w:tcPr>
          <w:p>
            <w:pPr>
              <w:jc w:val="left"/>
            </w:pPr>
            <w:r/>
            <w:r>
              <w:rPr>
                <w:rFonts w:ascii="Calibri" w:hAnsi="Calibri"/>
                <w:color w:val="343A40"/>
                <w:sz w:val="18"/>
              </w:rPr>
              <w:t>1.1 (62px)</w:t>
            </w:r>
          </w:p>
        </w:tc>
        <w:tc>
          <w:tcPr>
            <w:tcW w:type="dxa" w:w="2160"/>
            <w:vAlign w:val="center"/>
            <w:tcMar>
              <w:top w:w="60" w:type="dxa"/>
              <w:bottom w:w="60" w:type="dxa"/>
              <w:start w:w="80" w:type="dxa"/>
              <w:end w:w="80" w:type="dxa"/>
            </w:tcMar>
          </w:tcPr>
          <w:p>
            <w:pPr>
              <w:jc w:val="left"/>
            </w:pPr>
            <w:r/>
            <w:r>
              <w:rPr>
                <w:rFonts w:ascii="Calibri" w:hAnsi="Calibri"/>
                <w:color w:val="343A40"/>
                <w:sz w:val="18"/>
              </w:rPr>
              <w:t>Light (300) / Regular</w:t>
            </w:r>
          </w:p>
        </w:tc>
        <w:tc>
          <w:tcPr>
            <w:tcW w:type="dxa" w:w="3600"/>
            <w:vAlign w:val="center"/>
            <w:tcMar>
              <w:top w:w="60" w:type="dxa"/>
              <w:bottom w:w="60" w:type="dxa"/>
              <w:start w:w="80" w:type="dxa"/>
              <w:end w:w="80" w:type="dxa"/>
            </w:tcMar>
          </w:tcPr>
          <w:p>
            <w:pPr>
              <w:jc w:val="left"/>
            </w:pPr>
            <w:r/>
            <w:r>
              <w:rPr>
                <w:rFonts w:ascii="Calibri" w:hAnsi="Calibri"/>
                <w:color w:val="343A40"/>
                <w:sz w:val="18"/>
              </w:rPr>
              <w:t>Homepage hero statements, major entry points.</w:t>
            </w:r>
          </w:p>
        </w:tc>
      </w:tr>
      <w:tr>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H1 (Page Title)</w:t>
            </w:r>
          </w:p>
        </w:tc>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48px (3rem)</w:t>
            </w:r>
          </w:p>
        </w:tc>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1.1 (52px)</w:t>
            </w:r>
          </w:p>
        </w:tc>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Medium (500)</w:t>
            </w:r>
          </w:p>
        </w:tc>
        <w:tc>
          <w:tcPr>
            <w:tcW w:type="dxa" w:w="3600"/>
            <w:vAlign w:val="center"/>
            <w:tcMar>
              <w:top w:w="60" w:type="dxa"/>
              <w:bottom w:w="60" w:type="dxa"/>
              <w:start w:w="80" w:type="dxa"/>
              <w:end w:w="80" w:type="dxa"/>
            </w:tcMar>
            <w:shd w:fill="F8F9FA" w:val="clear"/>
          </w:tcPr>
          <w:p>
            <w:pPr>
              <w:jc w:val="left"/>
            </w:pPr>
            <w:r/>
            <w:r>
              <w:rPr>
                <w:rFonts w:ascii="Calibri" w:hAnsi="Calibri"/>
                <w:color w:val="343A40"/>
                <w:sz w:val="18"/>
              </w:rPr>
              <w:t>Primary page headers (e.g., 'Wealth Solutions').</w:t>
            </w:r>
          </w:p>
        </w:tc>
      </w:tr>
      <w:tr>
        <w:tc>
          <w:tcPr>
            <w:tcW w:type="dxa" w:w="1728"/>
            <w:vAlign w:val="center"/>
            <w:tcMar>
              <w:top w:w="60" w:type="dxa"/>
              <w:bottom w:w="60" w:type="dxa"/>
              <w:start w:w="80" w:type="dxa"/>
              <w:end w:w="80" w:type="dxa"/>
            </w:tcMar>
          </w:tcPr>
          <w:p>
            <w:pPr>
              <w:jc w:val="left"/>
            </w:pPr>
            <w:r/>
            <w:r>
              <w:rPr>
                <w:rFonts w:ascii="Calibri" w:hAnsi="Calibri"/>
                <w:color w:val="343A40"/>
                <w:sz w:val="18"/>
              </w:rPr>
              <w:t>H2 (Section)</w:t>
            </w:r>
          </w:p>
        </w:tc>
        <w:tc>
          <w:tcPr>
            <w:tcW w:type="dxa" w:w="1728"/>
            <w:vAlign w:val="center"/>
            <w:tcMar>
              <w:top w:w="60" w:type="dxa"/>
              <w:bottom w:w="60" w:type="dxa"/>
              <w:start w:w="80" w:type="dxa"/>
              <w:end w:w="80" w:type="dxa"/>
            </w:tcMar>
          </w:tcPr>
          <w:p>
            <w:pPr>
              <w:jc w:val="left"/>
            </w:pPr>
            <w:r/>
            <w:r>
              <w:rPr>
                <w:rFonts w:ascii="Calibri" w:hAnsi="Calibri"/>
                <w:color w:val="343A40"/>
                <w:sz w:val="18"/>
              </w:rPr>
              <w:t>36px (2.25rem)</w:t>
            </w:r>
          </w:p>
        </w:tc>
        <w:tc>
          <w:tcPr>
            <w:tcW w:type="dxa" w:w="1728"/>
            <w:vAlign w:val="center"/>
            <w:tcMar>
              <w:top w:w="60" w:type="dxa"/>
              <w:bottom w:w="60" w:type="dxa"/>
              <w:start w:w="80" w:type="dxa"/>
              <w:end w:w="80" w:type="dxa"/>
            </w:tcMar>
          </w:tcPr>
          <w:p>
            <w:pPr>
              <w:jc w:val="left"/>
            </w:pPr>
            <w:r/>
            <w:r>
              <w:rPr>
                <w:rFonts w:ascii="Calibri" w:hAnsi="Calibri"/>
                <w:color w:val="343A40"/>
                <w:sz w:val="18"/>
              </w:rPr>
              <w:t>1.2 (44px)</w:t>
            </w:r>
          </w:p>
        </w:tc>
        <w:tc>
          <w:tcPr>
            <w:tcW w:type="dxa" w:w="2160"/>
            <w:vAlign w:val="center"/>
            <w:tcMar>
              <w:top w:w="60" w:type="dxa"/>
              <w:bottom w:w="60" w:type="dxa"/>
              <w:start w:w="80" w:type="dxa"/>
              <w:end w:w="80" w:type="dxa"/>
            </w:tcMar>
          </w:tcPr>
          <w:p>
            <w:pPr>
              <w:jc w:val="left"/>
            </w:pPr>
            <w:r/>
            <w:r>
              <w:rPr>
                <w:rFonts w:ascii="Calibri" w:hAnsi="Calibri"/>
                <w:color w:val="343A40"/>
                <w:sz w:val="18"/>
              </w:rPr>
              <w:t>Medium (500)</w:t>
            </w:r>
          </w:p>
        </w:tc>
        <w:tc>
          <w:tcPr>
            <w:tcW w:type="dxa" w:w="3600"/>
            <w:vAlign w:val="center"/>
            <w:tcMar>
              <w:top w:w="60" w:type="dxa"/>
              <w:bottom w:w="60" w:type="dxa"/>
              <w:start w:w="80" w:type="dxa"/>
              <w:end w:w="80" w:type="dxa"/>
            </w:tcMar>
          </w:tcPr>
          <w:p>
            <w:pPr>
              <w:jc w:val="left"/>
            </w:pPr>
            <w:r/>
            <w:r>
              <w:rPr>
                <w:rFonts w:ascii="Calibri" w:hAnsi="Calibri"/>
                <w:color w:val="343A40"/>
                <w:sz w:val="18"/>
              </w:rPr>
              <w:t>Major section dividers within a page.</w:t>
            </w:r>
          </w:p>
        </w:tc>
      </w:tr>
      <w:tr>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H3 (Subsection)</w:t>
            </w:r>
          </w:p>
        </w:tc>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24px (1.5rem)</w:t>
            </w:r>
          </w:p>
        </w:tc>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1.3 (32px)</w:t>
            </w:r>
          </w:p>
        </w:tc>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Semi-Bold (600)</w:t>
            </w:r>
          </w:p>
        </w:tc>
        <w:tc>
          <w:tcPr>
            <w:tcW w:type="dxa" w:w="3600"/>
            <w:vAlign w:val="center"/>
            <w:tcMar>
              <w:top w:w="60" w:type="dxa"/>
              <w:bottom w:w="60" w:type="dxa"/>
              <w:start w:w="80" w:type="dxa"/>
              <w:end w:w="80" w:type="dxa"/>
            </w:tcMar>
            <w:shd w:fill="F8F9FA" w:val="clear"/>
          </w:tcPr>
          <w:p>
            <w:pPr>
              <w:jc w:val="left"/>
            </w:pPr>
            <w:r/>
            <w:r>
              <w:rPr>
                <w:rFonts w:ascii="Calibri" w:hAnsi="Calibri"/>
                <w:color w:val="343A40"/>
                <w:sz w:val="18"/>
              </w:rPr>
              <w:t>Card titles, subsection headers.</w:t>
            </w:r>
          </w:p>
        </w:tc>
      </w:tr>
      <w:tr>
        <w:tc>
          <w:tcPr>
            <w:tcW w:type="dxa" w:w="1728"/>
            <w:vAlign w:val="center"/>
            <w:tcMar>
              <w:top w:w="60" w:type="dxa"/>
              <w:bottom w:w="60" w:type="dxa"/>
              <w:start w:w="80" w:type="dxa"/>
              <w:end w:w="80" w:type="dxa"/>
            </w:tcMar>
          </w:tcPr>
          <w:p>
            <w:pPr>
              <w:jc w:val="left"/>
            </w:pPr>
            <w:r/>
            <w:r>
              <w:rPr>
                <w:rFonts w:ascii="Calibri" w:hAnsi="Calibri"/>
                <w:color w:val="343A40"/>
                <w:sz w:val="18"/>
              </w:rPr>
              <w:t>H4 (Component)</w:t>
            </w:r>
          </w:p>
        </w:tc>
        <w:tc>
          <w:tcPr>
            <w:tcW w:type="dxa" w:w="1728"/>
            <w:vAlign w:val="center"/>
            <w:tcMar>
              <w:top w:w="60" w:type="dxa"/>
              <w:bottom w:w="60" w:type="dxa"/>
              <w:start w:w="80" w:type="dxa"/>
              <w:end w:w="80" w:type="dxa"/>
            </w:tcMar>
          </w:tcPr>
          <w:p>
            <w:pPr>
              <w:jc w:val="left"/>
            </w:pPr>
            <w:r/>
            <w:r>
              <w:rPr>
                <w:rFonts w:ascii="Calibri" w:hAnsi="Calibri"/>
                <w:color w:val="343A40"/>
                <w:sz w:val="18"/>
              </w:rPr>
              <w:t>20px (1.25rem)</w:t>
            </w:r>
          </w:p>
        </w:tc>
        <w:tc>
          <w:tcPr>
            <w:tcW w:type="dxa" w:w="1728"/>
            <w:vAlign w:val="center"/>
            <w:tcMar>
              <w:top w:w="60" w:type="dxa"/>
              <w:bottom w:w="60" w:type="dxa"/>
              <w:start w:w="80" w:type="dxa"/>
              <w:end w:w="80" w:type="dxa"/>
            </w:tcMar>
          </w:tcPr>
          <w:p>
            <w:pPr>
              <w:jc w:val="left"/>
            </w:pPr>
            <w:r/>
            <w:r>
              <w:rPr>
                <w:rFonts w:ascii="Calibri" w:hAnsi="Calibri"/>
                <w:color w:val="343A40"/>
                <w:sz w:val="18"/>
              </w:rPr>
              <w:t>1.4 (28px)</w:t>
            </w:r>
          </w:p>
        </w:tc>
        <w:tc>
          <w:tcPr>
            <w:tcW w:type="dxa" w:w="2160"/>
            <w:vAlign w:val="center"/>
            <w:tcMar>
              <w:top w:w="60" w:type="dxa"/>
              <w:bottom w:w="60" w:type="dxa"/>
              <w:start w:w="80" w:type="dxa"/>
              <w:end w:w="80" w:type="dxa"/>
            </w:tcMar>
          </w:tcPr>
          <w:p>
            <w:pPr>
              <w:jc w:val="left"/>
            </w:pPr>
            <w:r/>
            <w:r>
              <w:rPr>
                <w:rFonts w:ascii="Calibri" w:hAnsi="Calibri"/>
                <w:color w:val="343A40"/>
                <w:sz w:val="18"/>
              </w:rPr>
              <w:t>Semi-Bold (600)</w:t>
            </w:r>
          </w:p>
        </w:tc>
        <w:tc>
          <w:tcPr>
            <w:tcW w:type="dxa" w:w="3600"/>
            <w:vAlign w:val="center"/>
            <w:tcMar>
              <w:top w:w="60" w:type="dxa"/>
              <w:bottom w:w="60" w:type="dxa"/>
              <w:start w:w="80" w:type="dxa"/>
              <w:end w:w="80" w:type="dxa"/>
            </w:tcMar>
          </w:tcPr>
          <w:p>
            <w:pPr>
              <w:jc w:val="left"/>
            </w:pPr>
            <w:r/>
            <w:r>
              <w:rPr>
                <w:rFonts w:ascii="Calibri" w:hAnsi="Calibri"/>
                <w:color w:val="343A40"/>
                <w:sz w:val="18"/>
              </w:rPr>
              <w:t>Small card titles, modal headers.</w:t>
            </w:r>
          </w:p>
        </w:tc>
      </w:tr>
      <w:tr>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Body Large</w:t>
            </w:r>
          </w:p>
        </w:tc>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18px (1.125rem)</w:t>
            </w:r>
          </w:p>
        </w:tc>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1.6 (28px)</w:t>
            </w:r>
          </w:p>
        </w:tc>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Regular (400)</w:t>
            </w:r>
          </w:p>
        </w:tc>
        <w:tc>
          <w:tcPr>
            <w:tcW w:type="dxa" w:w="3600"/>
            <w:vAlign w:val="center"/>
            <w:tcMar>
              <w:top w:w="60" w:type="dxa"/>
              <w:bottom w:w="60" w:type="dxa"/>
              <w:start w:w="80" w:type="dxa"/>
              <w:end w:w="80" w:type="dxa"/>
            </w:tcMar>
            <w:shd w:fill="F8F9FA" w:val="clear"/>
          </w:tcPr>
          <w:p>
            <w:pPr>
              <w:jc w:val="left"/>
            </w:pPr>
            <w:r/>
            <w:r>
              <w:rPr>
                <w:rFonts w:ascii="Calibri" w:hAnsi="Calibri"/>
                <w:color w:val="343A40"/>
                <w:sz w:val="18"/>
              </w:rPr>
              <w:t>Introductory paragraphs, lead text.</w:t>
            </w:r>
          </w:p>
        </w:tc>
      </w:tr>
      <w:tr>
        <w:tc>
          <w:tcPr>
            <w:tcW w:type="dxa" w:w="1728"/>
            <w:vAlign w:val="center"/>
            <w:tcMar>
              <w:top w:w="60" w:type="dxa"/>
              <w:bottom w:w="60" w:type="dxa"/>
              <w:start w:w="80" w:type="dxa"/>
              <w:end w:w="80" w:type="dxa"/>
            </w:tcMar>
          </w:tcPr>
          <w:p>
            <w:pPr>
              <w:jc w:val="left"/>
            </w:pPr>
            <w:r/>
            <w:r>
              <w:rPr>
                <w:rFonts w:ascii="Calibri" w:hAnsi="Calibri"/>
                <w:color w:val="343A40"/>
                <w:sz w:val="18"/>
              </w:rPr>
              <w:t>Body Base</w:t>
            </w:r>
          </w:p>
        </w:tc>
        <w:tc>
          <w:tcPr>
            <w:tcW w:type="dxa" w:w="1728"/>
            <w:vAlign w:val="center"/>
            <w:tcMar>
              <w:top w:w="60" w:type="dxa"/>
              <w:bottom w:w="60" w:type="dxa"/>
              <w:start w:w="80" w:type="dxa"/>
              <w:end w:w="80" w:type="dxa"/>
            </w:tcMar>
          </w:tcPr>
          <w:p>
            <w:pPr>
              <w:jc w:val="left"/>
            </w:pPr>
            <w:r/>
            <w:r>
              <w:rPr>
                <w:rFonts w:ascii="Calibri" w:hAnsi="Calibri"/>
                <w:color w:val="343A40"/>
                <w:sz w:val="18"/>
              </w:rPr>
              <w:t>16px (1rem)</w:t>
            </w:r>
          </w:p>
        </w:tc>
        <w:tc>
          <w:tcPr>
            <w:tcW w:type="dxa" w:w="1728"/>
            <w:vAlign w:val="center"/>
            <w:tcMar>
              <w:top w:w="60" w:type="dxa"/>
              <w:bottom w:w="60" w:type="dxa"/>
              <w:start w:w="80" w:type="dxa"/>
              <w:end w:w="80" w:type="dxa"/>
            </w:tcMar>
          </w:tcPr>
          <w:p>
            <w:pPr>
              <w:jc w:val="left"/>
            </w:pPr>
            <w:r/>
            <w:r>
              <w:rPr>
                <w:rFonts w:ascii="Calibri" w:hAnsi="Calibri"/>
                <w:color w:val="343A40"/>
                <w:sz w:val="18"/>
              </w:rPr>
              <w:t>1.6 (26px)</w:t>
            </w:r>
          </w:p>
        </w:tc>
        <w:tc>
          <w:tcPr>
            <w:tcW w:type="dxa" w:w="2160"/>
            <w:vAlign w:val="center"/>
            <w:tcMar>
              <w:top w:w="60" w:type="dxa"/>
              <w:bottom w:w="60" w:type="dxa"/>
              <w:start w:w="80" w:type="dxa"/>
              <w:end w:w="80" w:type="dxa"/>
            </w:tcMar>
          </w:tcPr>
          <w:p>
            <w:pPr>
              <w:jc w:val="left"/>
            </w:pPr>
            <w:r/>
            <w:r>
              <w:rPr>
                <w:rFonts w:ascii="Calibri" w:hAnsi="Calibri"/>
                <w:color w:val="343A40"/>
                <w:sz w:val="18"/>
              </w:rPr>
              <w:t>Regular (400)</w:t>
            </w:r>
          </w:p>
        </w:tc>
        <w:tc>
          <w:tcPr>
            <w:tcW w:type="dxa" w:w="3600"/>
            <w:vAlign w:val="center"/>
            <w:tcMar>
              <w:top w:w="60" w:type="dxa"/>
              <w:bottom w:w="60" w:type="dxa"/>
              <w:start w:w="80" w:type="dxa"/>
              <w:end w:w="80" w:type="dxa"/>
            </w:tcMar>
          </w:tcPr>
          <w:p>
            <w:pPr>
              <w:jc w:val="left"/>
            </w:pPr>
            <w:r/>
            <w:r>
              <w:rPr>
                <w:rFonts w:ascii="Calibri" w:hAnsi="Calibri"/>
                <w:color w:val="343A40"/>
                <w:sz w:val="18"/>
              </w:rPr>
              <w:t>Standard article text, descriptions.</w:t>
            </w:r>
          </w:p>
        </w:tc>
      </w:tr>
      <w:tr>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Body Small</w:t>
            </w:r>
          </w:p>
        </w:tc>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14px (0.875rem)</w:t>
            </w:r>
          </w:p>
        </w:tc>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1.5 (22px)</w:t>
            </w:r>
          </w:p>
        </w:tc>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Regular (400)</w:t>
            </w:r>
          </w:p>
        </w:tc>
        <w:tc>
          <w:tcPr>
            <w:tcW w:type="dxa" w:w="3600"/>
            <w:vAlign w:val="center"/>
            <w:tcMar>
              <w:top w:w="60" w:type="dxa"/>
              <w:bottom w:w="60" w:type="dxa"/>
              <w:start w:w="80" w:type="dxa"/>
              <w:end w:w="80" w:type="dxa"/>
            </w:tcMar>
            <w:shd w:fill="F8F9FA" w:val="clear"/>
          </w:tcPr>
          <w:p>
            <w:pPr>
              <w:jc w:val="left"/>
            </w:pPr>
            <w:r/>
            <w:r>
              <w:rPr>
                <w:rFonts w:ascii="Calibri" w:hAnsi="Calibri"/>
                <w:color w:val="343A40"/>
                <w:sz w:val="18"/>
              </w:rPr>
              <w:t>Secondary info, timestamps, metadata.</w:t>
            </w:r>
          </w:p>
        </w:tc>
      </w:tr>
      <w:tr>
        <w:tc>
          <w:tcPr>
            <w:tcW w:type="dxa" w:w="1728"/>
            <w:vAlign w:val="center"/>
            <w:tcMar>
              <w:top w:w="60" w:type="dxa"/>
              <w:bottom w:w="60" w:type="dxa"/>
              <w:start w:w="80" w:type="dxa"/>
              <w:end w:w="80" w:type="dxa"/>
            </w:tcMar>
          </w:tcPr>
          <w:p>
            <w:pPr>
              <w:jc w:val="left"/>
            </w:pPr>
            <w:r/>
            <w:r>
              <w:rPr>
                <w:rFonts w:ascii="Calibri" w:hAnsi="Calibri"/>
                <w:color w:val="343A40"/>
                <w:sz w:val="18"/>
              </w:rPr>
              <w:t>Caption / Legal</w:t>
            </w:r>
          </w:p>
        </w:tc>
        <w:tc>
          <w:tcPr>
            <w:tcW w:type="dxa" w:w="1728"/>
            <w:vAlign w:val="center"/>
            <w:tcMar>
              <w:top w:w="60" w:type="dxa"/>
              <w:bottom w:w="60" w:type="dxa"/>
              <w:start w:w="80" w:type="dxa"/>
              <w:end w:w="80" w:type="dxa"/>
            </w:tcMar>
          </w:tcPr>
          <w:p>
            <w:pPr>
              <w:jc w:val="left"/>
            </w:pPr>
            <w:r/>
            <w:r>
              <w:rPr>
                <w:rFonts w:ascii="Calibri" w:hAnsi="Calibri"/>
                <w:color w:val="343A40"/>
                <w:sz w:val="18"/>
              </w:rPr>
              <w:t>12px (0.75rem)</w:t>
            </w:r>
          </w:p>
        </w:tc>
        <w:tc>
          <w:tcPr>
            <w:tcW w:type="dxa" w:w="1728"/>
            <w:vAlign w:val="center"/>
            <w:tcMar>
              <w:top w:w="60" w:type="dxa"/>
              <w:bottom w:w="60" w:type="dxa"/>
              <w:start w:w="80" w:type="dxa"/>
              <w:end w:w="80" w:type="dxa"/>
            </w:tcMar>
          </w:tcPr>
          <w:p>
            <w:pPr>
              <w:jc w:val="left"/>
            </w:pPr>
            <w:r/>
            <w:r>
              <w:rPr>
                <w:rFonts w:ascii="Calibri" w:hAnsi="Calibri"/>
                <w:color w:val="343A40"/>
                <w:sz w:val="18"/>
              </w:rPr>
              <w:t>1.4 (16px)</w:t>
            </w:r>
          </w:p>
        </w:tc>
        <w:tc>
          <w:tcPr>
            <w:tcW w:type="dxa" w:w="2160"/>
            <w:vAlign w:val="center"/>
            <w:tcMar>
              <w:top w:w="60" w:type="dxa"/>
              <w:bottom w:w="60" w:type="dxa"/>
              <w:start w:w="80" w:type="dxa"/>
              <w:end w:w="80" w:type="dxa"/>
            </w:tcMar>
          </w:tcPr>
          <w:p>
            <w:pPr>
              <w:jc w:val="left"/>
            </w:pPr>
            <w:r/>
            <w:r>
              <w:rPr>
                <w:rFonts w:ascii="Calibri" w:hAnsi="Calibri"/>
                <w:color w:val="343A40"/>
                <w:sz w:val="18"/>
              </w:rPr>
              <w:t>Regular (400)</w:t>
            </w:r>
          </w:p>
        </w:tc>
        <w:tc>
          <w:tcPr>
            <w:tcW w:type="dxa" w:w="3600"/>
            <w:vAlign w:val="center"/>
            <w:tcMar>
              <w:top w:w="60" w:type="dxa"/>
              <w:bottom w:w="60" w:type="dxa"/>
              <w:start w:w="80" w:type="dxa"/>
              <w:end w:w="80" w:type="dxa"/>
            </w:tcMar>
          </w:tcPr>
          <w:p>
            <w:pPr>
              <w:jc w:val="left"/>
            </w:pPr>
            <w:r/>
            <w:r>
              <w:rPr>
                <w:rFonts w:ascii="Calibri" w:hAnsi="Calibri"/>
                <w:color w:val="343A40"/>
                <w:sz w:val="18"/>
              </w:rPr>
              <w:t>Regulatory disclaimers, copyright, fine print.</w:t>
            </w:r>
          </w:p>
        </w:tc>
      </w:tr>
      <w:tr>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Overline</w:t>
            </w:r>
          </w:p>
        </w:tc>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12px (0.75rem)</w:t>
            </w:r>
          </w:p>
        </w:tc>
        <w:tc>
          <w:tcPr>
            <w:tcW w:type="dxa" w:w="1728"/>
            <w:vAlign w:val="center"/>
            <w:tcMar>
              <w:top w:w="60" w:type="dxa"/>
              <w:bottom w:w="60" w:type="dxa"/>
              <w:start w:w="80" w:type="dxa"/>
              <w:end w:w="80" w:type="dxa"/>
            </w:tcMar>
            <w:shd w:fill="F8F9FA" w:val="clear"/>
          </w:tcPr>
          <w:p>
            <w:pPr>
              <w:jc w:val="left"/>
            </w:pPr>
            <w:r/>
            <w:r>
              <w:rPr>
                <w:rFonts w:ascii="Calibri" w:hAnsi="Calibri"/>
                <w:color w:val="343A40"/>
                <w:sz w:val="18"/>
              </w:rPr>
              <w:t>1.5 (18px)</w:t>
            </w:r>
          </w:p>
        </w:tc>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Bold (700) + Caps</w:t>
            </w:r>
          </w:p>
        </w:tc>
        <w:tc>
          <w:tcPr>
            <w:tcW w:type="dxa" w:w="3600"/>
            <w:vAlign w:val="center"/>
            <w:tcMar>
              <w:top w:w="60" w:type="dxa"/>
              <w:bottom w:w="60" w:type="dxa"/>
              <w:start w:w="80" w:type="dxa"/>
              <w:end w:w="80" w:type="dxa"/>
            </w:tcMar>
            <w:shd w:fill="F8F9FA" w:val="clear"/>
          </w:tcPr>
          <w:p>
            <w:pPr>
              <w:jc w:val="left"/>
            </w:pPr>
            <w:r/>
            <w:r>
              <w:rPr>
                <w:rFonts w:ascii="Calibri" w:hAnsi="Calibri"/>
                <w:color w:val="343A40"/>
                <w:sz w:val="18"/>
              </w:rPr>
              <w:t>Category tags, section kickers (e.g., 'OUR APPROACH').</w:t>
            </w:r>
          </w:p>
        </w:tc>
      </w:tr>
    </w:tbl>
    <w:p>
      <w:pPr>
        <w:spacing w:after="80"/>
      </w:pPr>
    </w:p>
    <w:p>
      <w:pPr>
        <w:spacing w:before="200" w:after="40"/>
        <w:pBdr>
          <w:left w:val="single" w:sz="24" w:space="8" w:color="28A745"/>
        </w:pBdr>
        <w:shd w:val="clear" w:color="auto" w:fill="E8F5E9"/>
        <w:ind w:left="360" w:right="360"/>
      </w:pPr>
      <w:r>
        <w:rPr>
          <w:rFonts w:ascii="Calibri" w:hAnsi="Calibri"/>
          <w:b/>
          <w:color w:val="1B7A30"/>
          <w:sz w:val="21"/>
        </w:rPr>
        <w:t>✅  TYPOGRAPHY GUIDELINES</w:t>
      </w:r>
    </w:p>
    <w:p>
      <w:pPr>
        <w:spacing w:before="20" w:after="40"/>
        <w:pBdr>
          <w:left w:val="single" w:sz="24" w:space="8" w:color="28A745"/>
        </w:pBdr>
        <w:shd w:val="clear" w:color="auto" w:fill="E8F5E9"/>
        <w:ind w:left="360" w:right="360"/>
      </w:pPr>
      <w:r>
        <w:rPr>
          <w:rFonts w:ascii="Calibri" w:hAnsi="Calibri"/>
          <w:color w:val="343A40"/>
          <w:sz w:val="20"/>
        </w:rPr>
        <w:t>•  Line Length: Constrain body text containers to 65-75 characters to prevent eye strain.</w:t>
      </w:r>
    </w:p>
    <w:p>
      <w:pPr>
        <w:spacing w:before="20" w:after="40"/>
        <w:pBdr>
          <w:left w:val="single" w:sz="24" w:space="8" w:color="28A745"/>
        </w:pBdr>
        <w:shd w:val="clear" w:color="auto" w:fill="E8F5E9"/>
        <w:ind w:left="360" w:right="360"/>
      </w:pPr>
      <w:r>
        <w:rPr>
          <w:rFonts w:ascii="Calibri" w:hAnsi="Calibri"/>
          <w:color w:val="343A40"/>
          <w:sz w:val="20"/>
        </w:rPr>
        <w:t>•  Letter Spacing: Apply tight tracking (-0.02em) to Display/H1 headers, and slightly loose tracking (0.05em) to uppercase Overlines.</w:t>
      </w:r>
    </w:p>
    <w:p>
      <w:pPr>
        <w:spacing w:before="20" w:after="160"/>
        <w:pBdr>
          <w:left w:val="single" w:sz="24" w:space="8" w:color="28A745"/>
        </w:pBdr>
        <w:shd w:val="clear" w:color="auto" w:fill="E8F5E9"/>
        <w:ind w:left="360" w:right="360"/>
      </w:pPr>
      <w:r>
        <w:rPr>
          <w:rFonts w:ascii="Calibri" w:hAnsi="Calibri"/>
          <w:color w:val="343A40"/>
          <w:sz w:val="20"/>
        </w:rPr>
        <w:t>•  Color: Never use absolute black (#000000). Use the defined Dark Navy or Dark Gray for maximum contrast without harshness.</w:t>
      </w:r>
    </w:p>
    <w:p>
      <w:r>
        <w:br w:type="page"/>
      </w:r>
    </w:p>
    <w:p>
      <w:pPr>
        <w:pStyle w:val="Heading1"/>
      </w:pPr>
      <w:r>
        <w:t>Spacing &amp; Layout System</w:t>
      </w:r>
    </w:p>
    <w:p>
      <w:r>
        <w:rPr>
          <w:rFonts w:ascii="Calibri" w:hAnsi="Calibri"/>
          <w:b w:val="0"/>
          <w:i w:val="0"/>
          <w:color w:val="343A40"/>
          <w:sz w:val="21"/>
        </w:rPr>
        <w:t>We employ a strict 8-point grid system. All padding, margins, and component heights must be a multiple of 8 to ensure vertical rhythm and visual harmony.</w:t>
      </w:r>
    </w:p>
    <w:p>
      <w:pPr>
        <w:pStyle w:val="Heading3"/>
      </w:pPr>
      <w:r>
        <w:t>The 8pt Spacing Scale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85"/>
        <w:gridCol w:w="2185"/>
        <w:gridCol w:w="2185"/>
        <w:gridCol w:w="2185"/>
      </w:tblGrid>
      <w:tr>
        <w:tc>
          <w:tcPr>
            <w:tcW w:type="dxa" w:w="1440"/>
            <w:shd w:fill="1B2A4A" w:val="clear"/>
            <w:vAlign w:val="center"/>
            <w:tcMar>
              <w:top w:w="60" w:type="dxa"/>
              <w:bottom w:w="60" w:type="dxa"/>
              <w:start w:w="80" w:type="dxa"/>
              <w:end w:w="80" w:type="dxa"/>
            </w:tcMar>
          </w:tcPr>
          <w:p>
            <w:pPr>
              <w:jc w:val="left"/>
            </w:pPr>
            <w:r/>
            <w:r>
              <w:rPr>
                <w:rFonts w:ascii="Calibri" w:hAnsi="Calibri"/>
                <w:b/>
                <w:color w:val="FFFFFF"/>
                <w:sz w:val="19"/>
              </w:rPr>
              <w:t>Token</w:t>
            </w:r>
          </w:p>
        </w:tc>
        <w:tc>
          <w:tcPr>
            <w:tcW w:type="dxa" w:w="1440"/>
            <w:shd w:fill="1B2A4A" w:val="clear"/>
            <w:vAlign w:val="center"/>
            <w:tcMar>
              <w:top w:w="60" w:type="dxa"/>
              <w:bottom w:w="60" w:type="dxa"/>
              <w:start w:w="80" w:type="dxa"/>
              <w:end w:w="80" w:type="dxa"/>
            </w:tcMar>
          </w:tcPr>
          <w:p>
            <w:pPr>
              <w:jc w:val="left"/>
            </w:pPr>
            <w:r/>
            <w:r>
              <w:rPr>
                <w:rFonts w:ascii="Calibri" w:hAnsi="Calibri"/>
                <w:b/>
                <w:color w:val="FFFFFF"/>
                <w:sz w:val="19"/>
              </w:rPr>
              <w:t>Value (px)</w:t>
            </w:r>
          </w:p>
        </w:tc>
        <w:tc>
          <w:tcPr>
            <w:tcW w:type="dxa" w:w="1440"/>
            <w:shd w:fill="1B2A4A" w:val="clear"/>
            <w:vAlign w:val="center"/>
            <w:tcMar>
              <w:top w:w="60" w:type="dxa"/>
              <w:bottom w:w="60" w:type="dxa"/>
              <w:start w:w="80" w:type="dxa"/>
              <w:end w:w="80" w:type="dxa"/>
            </w:tcMar>
          </w:tcPr>
          <w:p>
            <w:pPr>
              <w:jc w:val="left"/>
            </w:pPr>
            <w:r/>
            <w:r>
              <w:rPr>
                <w:rFonts w:ascii="Calibri" w:hAnsi="Calibri"/>
                <w:b/>
                <w:color w:val="FFFFFF"/>
                <w:sz w:val="19"/>
              </w:rPr>
              <w:t>Value (rem)</w:t>
            </w:r>
          </w:p>
        </w:tc>
        <w:tc>
          <w:tcPr>
            <w:tcW w:type="dxa" w:w="5760"/>
            <w:shd w:fill="1B2A4A" w:val="clear"/>
            <w:vAlign w:val="center"/>
            <w:tcMar>
              <w:top w:w="60" w:type="dxa"/>
              <w:bottom w:w="60" w:type="dxa"/>
              <w:start w:w="80" w:type="dxa"/>
              <w:end w:w="80" w:type="dxa"/>
            </w:tcMar>
          </w:tcPr>
          <w:p>
            <w:pPr>
              <w:jc w:val="left"/>
            </w:pPr>
            <w:r/>
            <w:r>
              <w:rPr>
                <w:rFonts w:ascii="Calibri" w:hAnsi="Calibri"/>
                <w:b/>
                <w:color w:val="FFFFFF"/>
                <w:sz w:val="19"/>
              </w:rPr>
              <w:t>Typical Application</w:t>
            </w:r>
          </w:p>
        </w:tc>
      </w:tr>
      <w:tr>
        <w:tc>
          <w:tcPr>
            <w:tcW w:type="dxa" w:w="1440"/>
            <w:vAlign w:val="center"/>
            <w:tcMar>
              <w:top w:w="60" w:type="dxa"/>
              <w:bottom w:w="60" w:type="dxa"/>
              <w:start w:w="80" w:type="dxa"/>
              <w:end w:w="80" w:type="dxa"/>
            </w:tcMar>
          </w:tcPr>
          <w:p>
            <w:pPr>
              <w:jc w:val="left"/>
            </w:pPr>
            <w:r/>
            <w:r>
              <w:rPr>
                <w:rFonts w:ascii="Calibri" w:hAnsi="Calibri"/>
                <w:color w:val="343A40"/>
                <w:sz w:val="18"/>
              </w:rPr>
              <w:t>space-4</w:t>
            </w:r>
          </w:p>
        </w:tc>
        <w:tc>
          <w:tcPr>
            <w:tcW w:type="dxa" w:w="1440"/>
            <w:vAlign w:val="center"/>
            <w:tcMar>
              <w:top w:w="60" w:type="dxa"/>
              <w:bottom w:w="60" w:type="dxa"/>
              <w:start w:w="80" w:type="dxa"/>
              <w:end w:w="80" w:type="dxa"/>
            </w:tcMar>
          </w:tcPr>
          <w:p>
            <w:pPr>
              <w:jc w:val="left"/>
            </w:pPr>
            <w:r/>
            <w:r>
              <w:rPr>
                <w:rFonts w:ascii="Calibri" w:hAnsi="Calibri"/>
                <w:color w:val="343A40"/>
                <w:sz w:val="18"/>
              </w:rPr>
              <w:t>4px</w:t>
            </w:r>
          </w:p>
        </w:tc>
        <w:tc>
          <w:tcPr>
            <w:tcW w:type="dxa" w:w="1440"/>
            <w:vAlign w:val="center"/>
            <w:tcMar>
              <w:top w:w="60" w:type="dxa"/>
              <w:bottom w:w="60" w:type="dxa"/>
              <w:start w:w="80" w:type="dxa"/>
              <w:end w:w="80" w:type="dxa"/>
            </w:tcMar>
          </w:tcPr>
          <w:p>
            <w:pPr>
              <w:jc w:val="left"/>
            </w:pPr>
            <w:r/>
            <w:r>
              <w:rPr>
                <w:rFonts w:ascii="Calibri" w:hAnsi="Calibri"/>
                <w:color w:val="343A40"/>
                <w:sz w:val="18"/>
              </w:rPr>
              <w:t>0.25rem</w:t>
            </w:r>
          </w:p>
        </w:tc>
        <w:tc>
          <w:tcPr>
            <w:tcW w:type="dxa" w:w="5760"/>
            <w:vAlign w:val="center"/>
            <w:tcMar>
              <w:top w:w="60" w:type="dxa"/>
              <w:bottom w:w="60" w:type="dxa"/>
              <w:start w:w="80" w:type="dxa"/>
              <w:end w:w="80" w:type="dxa"/>
            </w:tcMar>
          </w:tcPr>
          <w:p>
            <w:pPr>
              <w:jc w:val="left"/>
            </w:pPr>
            <w:r/>
            <w:r>
              <w:rPr>
                <w:rFonts w:ascii="Calibri" w:hAnsi="Calibri"/>
                <w:color w:val="343A40"/>
                <w:sz w:val="18"/>
              </w:rPr>
              <w:t>Micro adjustments, inside tiny buttons or inputs.</w:t>
            </w:r>
          </w:p>
        </w:tc>
      </w:tr>
      <w:tr>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space-8</w:t>
            </w:r>
          </w:p>
        </w:tc>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8px</w:t>
            </w:r>
          </w:p>
        </w:tc>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0.5rem</w:t>
            </w:r>
          </w:p>
        </w:tc>
        <w:tc>
          <w:tcPr>
            <w:tcW w:type="dxa" w:w="5760"/>
            <w:vAlign w:val="center"/>
            <w:tcMar>
              <w:top w:w="60" w:type="dxa"/>
              <w:bottom w:w="60" w:type="dxa"/>
              <w:start w:w="80" w:type="dxa"/>
              <w:end w:w="80" w:type="dxa"/>
            </w:tcMar>
            <w:shd w:fill="F8F9FA" w:val="clear"/>
          </w:tcPr>
          <w:p>
            <w:pPr>
              <w:jc w:val="left"/>
            </w:pPr>
            <w:r/>
            <w:r>
              <w:rPr>
                <w:rFonts w:ascii="Calibri" w:hAnsi="Calibri"/>
                <w:color w:val="343A40"/>
                <w:sz w:val="18"/>
              </w:rPr>
              <w:t>Between icon and text, tight list items.</w:t>
            </w:r>
          </w:p>
        </w:tc>
      </w:tr>
      <w:tr>
        <w:tc>
          <w:tcPr>
            <w:tcW w:type="dxa" w:w="1440"/>
            <w:vAlign w:val="center"/>
            <w:tcMar>
              <w:top w:w="60" w:type="dxa"/>
              <w:bottom w:w="60" w:type="dxa"/>
              <w:start w:w="80" w:type="dxa"/>
              <w:end w:w="80" w:type="dxa"/>
            </w:tcMar>
          </w:tcPr>
          <w:p>
            <w:pPr>
              <w:jc w:val="left"/>
            </w:pPr>
            <w:r/>
            <w:r>
              <w:rPr>
                <w:rFonts w:ascii="Calibri" w:hAnsi="Calibri"/>
                <w:color w:val="343A40"/>
                <w:sz w:val="18"/>
              </w:rPr>
              <w:t>space-12</w:t>
            </w:r>
          </w:p>
        </w:tc>
        <w:tc>
          <w:tcPr>
            <w:tcW w:type="dxa" w:w="1440"/>
            <w:vAlign w:val="center"/>
            <w:tcMar>
              <w:top w:w="60" w:type="dxa"/>
              <w:bottom w:w="60" w:type="dxa"/>
              <w:start w:w="80" w:type="dxa"/>
              <w:end w:w="80" w:type="dxa"/>
            </w:tcMar>
          </w:tcPr>
          <w:p>
            <w:pPr>
              <w:jc w:val="left"/>
            </w:pPr>
            <w:r/>
            <w:r>
              <w:rPr>
                <w:rFonts w:ascii="Calibri" w:hAnsi="Calibri"/>
                <w:color w:val="343A40"/>
                <w:sz w:val="18"/>
              </w:rPr>
              <w:t>12px</w:t>
            </w:r>
          </w:p>
        </w:tc>
        <w:tc>
          <w:tcPr>
            <w:tcW w:type="dxa" w:w="1440"/>
            <w:vAlign w:val="center"/>
            <w:tcMar>
              <w:top w:w="60" w:type="dxa"/>
              <w:bottom w:w="60" w:type="dxa"/>
              <w:start w:w="80" w:type="dxa"/>
              <w:end w:w="80" w:type="dxa"/>
            </w:tcMar>
          </w:tcPr>
          <w:p>
            <w:pPr>
              <w:jc w:val="left"/>
            </w:pPr>
            <w:r/>
            <w:r>
              <w:rPr>
                <w:rFonts w:ascii="Calibri" w:hAnsi="Calibri"/>
                <w:color w:val="343A40"/>
                <w:sz w:val="18"/>
              </w:rPr>
              <w:t>0.75rem</w:t>
            </w:r>
          </w:p>
        </w:tc>
        <w:tc>
          <w:tcPr>
            <w:tcW w:type="dxa" w:w="5760"/>
            <w:vAlign w:val="center"/>
            <w:tcMar>
              <w:top w:w="60" w:type="dxa"/>
              <w:bottom w:w="60" w:type="dxa"/>
              <w:start w:w="80" w:type="dxa"/>
              <w:end w:w="80" w:type="dxa"/>
            </w:tcMar>
          </w:tcPr>
          <w:p>
            <w:pPr>
              <w:jc w:val="left"/>
            </w:pPr>
            <w:r/>
            <w:r>
              <w:rPr>
                <w:rFonts w:ascii="Calibri" w:hAnsi="Calibri"/>
                <w:color w:val="343A40"/>
                <w:sz w:val="18"/>
              </w:rPr>
              <w:t>Small component padding (tags, badges).</w:t>
            </w:r>
          </w:p>
        </w:tc>
      </w:tr>
      <w:tr>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space-16</w:t>
            </w:r>
          </w:p>
        </w:tc>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16px</w:t>
            </w:r>
          </w:p>
        </w:tc>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1.0rem</w:t>
            </w:r>
          </w:p>
        </w:tc>
        <w:tc>
          <w:tcPr>
            <w:tcW w:type="dxa" w:w="5760"/>
            <w:vAlign w:val="center"/>
            <w:tcMar>
              <w:top w:w="60" w:type="dxa"/>
              <w:bottom w:w="60" w:type="dxa"/>
              <w:start w:w="80" w:type="dxa"/>
              <w:end w:w="80" w:type="dxa"/>
            </w:tcMar>
            <w:shd w:fill="F8F9FA" w:val="clear"/>
          </w:tcPr>
          <w:p>
            <w:pPr>
              <w:jc w:val="left"/>
            </w:pPr>
            <w:r/>
            <w:r>
              <w:rPr>
                <w:rFonts w:ascii="Calibri" w:hAnsi="Calibri"/>
                <w:color w:val="343A40"/>
                <w:sz w:val="18"/>
              </w:rPr>
              <w:t>Standard UI element margin, typical paragraph spacing.</w:t>
            </w:r>
          </w:p>
        </w:tc>
      </w:tr>
      <w:tr>
        <w:tc>
          <w:tcPr>
            <w:tcW w:type="dxa" w:w="1440"/>
            <w:vAlign w:val="center"/>
            <w:tcMar>
              <w:top w:w="60" w:type="dxa"/>
              <w:bottom w:w="60" w:type="dxa"/>
              <w:start w:w="80" w:type="dxa"/>
              <w:end w:w="80" w:type="dxa"/>
            </w:tcMar>
          </w:tcPr>
          <w:p>
            <w:pPr>
              <w:jc w:val="left"/>
            </w:pPr>
            <w:r/>
            <w:r>
              <w:rPr>
                <w:rFonts w:ascii="Calibri" w:hAnsi="Calibri"/>
                <w:color w:val="343A40"/>
                <w:sz w:val="18"/>
              </w:rPr>
              <w:t>space-24</w:t>
            </w:r>
          </w:p>
        </w:tc>
        <w:tc>
          <w:tcPr>
            <w:tcW w:type="dxa" w:w="1440"/>
            <w:vAlign w:val="center"/>
            <w:tcMar>
              <w:top w:w="60" w:type="dxa"/>
              <w:bottom w:w="60" w:type="dxa"/>
              <w:start w:w="80" w:type="dxa"/>
              <w:end w:w="80" w:type="dxa"/>
            </w:tcMar>
          </w:tcPr>
          <w:p>
            <w:pPr>
              <w:jc w:val="left"/>
            </w:pPr>
            <w:r/>
            <w:r>
              <w:rPr>
                <w:rFonts w:ascii="Calibri" w:hAnsi="Calibri"/>
                <w:color w:val="343A40"/>
                <w:sz w:val="18"/>
              </w:rPr>
              <w:t>24px</w:t>
            </w:r>
          </w:p>
        </w:tc>
        <w:tc>
          <w:tcPr>
            <w:tcW w:type="dxa" w:w="1440"/>
            <w:vAlign w:val="center"/>
            <w:tcMar>
              <w:top w:w="60" w:type="dxa"/>
              <w:bottom w:w="60" w:type="dxa"/>
              <w:start w:w="80" w:type="dxa"/>
              <w:end w:w="80" w:type="dxa"/>
            </w:tcMar>
          </w:tcPr>
          <w:p>
            <w:pPr>
              <w:jc w:val="left"/>
            </w:pPr>
            <w:r/>
            <w:r>
              <w:rPr>
                <w:rFonts w:ascii="Calibri" w:hAnsi="Calibri"/>
                <w:color w:val="343A40"/>
                <w:sz w:val="18"/>
              </w:rPr>
              <w:t>1.5rem</w:t>
            </w:r>
          </w:p>
        </w:tc>
        <w:tc>
          <w:tcPr>
            <w:tcW w:type="dxa" w:w="5760"/>
            <w:vAlign w:val="center"/>
            <w:tcMar>
              <w:top w:w="60" w:type="dxa"/>
              <w:bottom w:w="60" w:type="dxa"/>
              <w:start w:w="80" w:type="dxa"/>
              <w:end w:w="80" w:type="dxa"/>
            </w:tcMar>
          </w:tcPr>
          <w:p>
            <w:pPr>
              <w:jc w:val="left"/>
            </w:pPr>
            <w:r/>
            <w:r>
              <w:rPr>
                <w:rFonts w:ascii="Calibri" w:hAnsi="Calibri"/>
                <w:color w:val="343A40"/>
                <w:sz w:val="18"/>
              </w:rPr>
              <w:t>Standard card padding, between form fields.</w:t>
            </w:r>
          </w:p>
        </w:tc>
      </w:tr>
      <w:tr>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space-32</w:t>
            </w:r>
          </w:p>
        </w:tc>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32px</w:t>
            </w:r>
          </w:p>
        </w:tc>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2.0rem</w:t>
            </w:r>
          </w:p>
        </w:tc>
        <w:tc>
          <w:tcPr>
            <w:tcW w:type="dxa" w:w="5760"/>
            <w:vAlign w:val="center"/>
            <w:tcMar>
              <w:top w:w="60" w:type="dxa"/>
              <w:bottom w:w="60" w:type="dxa"/>
              <w:start w:w="80" w:type="dxa"/>
              <w:end w:w="80" w:type="dxa"/>
            </w:tcMar>
            <w:shd w:fill="F8F9FA" w:val="clear"/>
          </w:tcPr>
          <w:p>
            <w:pPr>
              <w:jc w:val="left"/>
            </w:pPr>
            <w:r/>
            <w:r>
              <w:rPr>
                <w:rFonts w:ascii="Calibri" w:hAnsi="Calibri"/>
                <w:color w:val="343A40"/>
                <w:sz w:val="18"/>
              </w:rPr>
              <w:t>Large card padding, heading bottom margins.</w:t>
            </w:r>
          </w:p>
        </w:tc>
      </w:tr>
      <w:tr>
        <w:tc>
          <w:tcPr>
            <w:tcW w:type="dxa" w:w="1440"/>
            <w:vAlign w:val="center"/>
            <w:tcMar>
              <w:top w:w="60" w:type="dxa"/>
              <w:bottom w:w="60" w:type="dxa"/>
              <w:start w:w="80" w:type="dxa"/>
              <w:end w:w="80" w:type="dxa"/>
            </w:tcMar>
          </w:tcPr>
          <w:p>
            <w:pPr>
              <w:jc w:val="left"/>
            </w:pPr>
            <w:r/>
            <w:r>
              <w:rPr>
                <w:rFonts w:ascii="Calibri" w:hAnsi="Calibri"/>
                <w:color w:val="343A40"/>
                <w:sz w:val="18"/>
              </w:rPr>
              <w:t>space-48</w:t>
            </w:r>
          </w:p>
        </w:tc>
        <w:tc>
          <w:tcPr>
            <w:tcW w:type="dxa" w:w="1440"/>
            <w:vAlign w:val="center"/>
            <w:tcMar>
              <w:top w:w="60" w:type="dxa"/>
              <w:bottom w:w="60" w:type="dxa"/>
              <w:start w:w="80" w:type="dxa"/>
              <w:end w:w="80" w:type="dxa"/>
            </w:tcMar>
          </w:tcPr>
          <w:p>
            <w:pPr>
              <w:jc w:val="left"/>
            </w:pPr>
            <w:r/>
            <w:r>
              <w:rPr>
                <w:rFonts w:ascii="Calibri" w:hAnsi="Calibri"/>
                <w:color w:val="343A40"/>
                <w:sz w:val="18"/>
              </w:rPr>
              <w:t>48px</w:t>
            </w:r>
          </w:p>
        </w:tc>
        <w:tc>
          <w:tcPr>
            <w:tcW w:type="dxa" w:w="1440"/>
            <w:vAlign w:val="center"/>
            <w:tcMar>
              <w:top w:w="60" w:type="dxa"/>
              <w:bottom w:w="60" w:type="dxa"/>
              <w:start w:w="80" w:type="dxa"/>
              <w:end w:w="80" w:type="dxa"/>
            </w:tcMar>
          </w:tcPr>
          <w:p>
            <w:pPr>
              <w:jc w:val="left"/>
            </w:pPr>
            <w:r/>
            <w:r>
              <w:rPr>
                <w:rFonts w:ascii="Calibri" w:hAnsi="Calibri"/>
                <w:color w:val="343A40"/>
                <w:sz w:val="18"/>
              </w:rPr>
              <w:t>3.0rem</w:t>
            </w:r>
          </w:p>
        </w:tc>
        <w:tc>
          <w:tcPr>
            <w:tcW w:type="dxa" w:w="5760"/>
            <w:vAlign w:val="center"/>
            <w:tcMar>
              <w:top w:w="60" w:type="dxa"/>
              <w:bottom w:w="60" w:type="dxa"/>
              <w:start w:w="80" w:type="dxa"/>
              <w:end w:w="80" w:type="dxa"/>
            </w:tcMar>
          </w:tcPr>
          <w:p>
            <w:pPr>
              <w:jc w:val="left"/>
            </w:pPr>
            <w:r/>
            <w:r>
              <w:rPr>
                <w:rFonts w:ascii="Calibri" w:hAnsi="Calibri"/>
                <w:color w:val="343A40"/>
                <w:sz w:val="18"/>
              </w:rPr>
              <w:t>Between major components, small section breaks.</w:t>
            </w:r>
          </w:p>
        </w:tc>
      </w:tr>
      <w:tr>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space-64</w:t>
            </w:r>
          </w:p>
        </w:tc>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64px</w:t>
            </w:r>
          </w:p>
        </w:tc>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4.0rem</w:t>
            </w:r>
          </w:p>
        </w:tc>
        <w:tc>
          <w:tcPr>
            <w:tcW w:type="dxa" w:w="5760"/>
            <w:vAlign w:val="center"/>
            <w:tcMar>
              <w:top w:w="60" w:type="dxa"/>
              <w:bottom w:w="60" w:type="dxa"/>
              <w:start w:w="80" w:type="dxa"/>
              <w:end w:w="80" w:type="dxa"/>
            </w:tcMar>
            <w:shd w:fill="F8F9FA" w:val="clear"/>
          </w:tcPr>
          <w:p>
            <w:pPr>
              <w:jc w:val="left"/>
            </w:pPr>
            <w:r/>
            <w:r>
              <w:rPr>
                <w:rFonts w:ascii="Calibri" w:hAnsi="Calibri"/>
                <w:color w:val="343A40"/>
                <w:sz w:val="18"/>
              </w:rPr>
              <w:t>Standard section padding (mobile).</w:t>
            </w:r>
          </w:p>
        </w:tc>
      </w:tr>
      <w:tr>
        <w:tc>
          <w:tcPr>
            <w:tcW w:type="dxa" w:w="1440"/>
            <w:vAlign w:val="center"/>
            <w:tcMar>
              <w:top w:w="60" w:type="dxa"/>
              <w:bottom w:w="60" w:type="dxa"/>
              <w:start w:w="80" w:type="dxa"/>
              <w:end w:w="80" w:type="dxa"/>
            </w:tcMar>
          </w:tcPr>
          <w:p>
            <w:pPr>
              <w:jc w:val="left"/>
            </w:pPr>
            <w:r/>
            <w:r>
              <w:rPr>
                <w:rFonts w:ascii="Calibri" w:hAnsi="Calibri"/>
                <w:color w:val="343A40"/>
                <w:sz w:val="18"/>
              </w:rPr>
              <w:t>space-96</w:t>
            </w:r>
          </w:p>
        </w:tc>
        <w:tc>
          <w:tcPr>
            <w:tcW w:type="dxa" w:w="1440"/>
            <w:vAlign w:val="center"/>
            <w:tcMar>
              <w:top w:w="60" w:type="dxa"/>
              <w:bottom w:w="60" w:type="dxa"/>
              <w:start w:w="80" w:type="dxa"/>
              <w:end w:w="80" w:type="dxa"/>
            </w:tcMar>
          </w:tcPr>
          <w:p>
            <w:pPr>
              <w:jc w:val="left"/>
            </w:pPr>
            <w:r/>
            <w:r>
              <w:rPr>
                <w:rFonts w:ascii="Calibri" w:hAnsi="Calibri"/>
                <w:color w:val="343A40"/>
                <w:sz w:val="18"/>
              </w:rPr>
              <w:t>96px</w:t>
            </w:r>
          </w:p>
        </w:tc>
        <w:tc>
          <w:tcPr>
            <w:tcW w:type="dxa" w:w="1440"/>
            <w:vAlign w:val="center"/>
            <w:tcMar>
              <w:top w:w="60" w:type="dxa"/>
              <w:bottom w:w="60" w:type="dxa"/>
              <w:start w:w="80" w:type="dxa"/>
              <w:end w:w="80" w:type="dxa"/>
            </w:tcMar>
          </w:tcPr>
          <w:p>
            <w:pPr>
              <w:jc w:val="left"/>
            </w:pPr>
            <w:r/>
            <w:r>
              <w:rPr>
                <w:rFonts w:ascii="Calibri" w:hAnsi="Calibri"/>
                <w:color w:val="343A40"/>
                <w:sz w:val="18"/>
              </w:rPr>
              <w:t>6.0rem</w:t>
            </w:r>
          </w:p>
        </w:tc>
        <w:tc>
          <w:tcPr>
            <w:tcW w:type="dxa" w:w="5760"/>
            <w:vAlign w:val="center"/>
            <w:tcMar>
              <w:top w:w="60" w:type="dxa"/>
              <w:bottom w:w="60" w:type="dxa"/>
              <w:start w:w="80" w:type="dxa"/>
              <w:end w:w="80" w:type="dxa"/>
            </w:tcMar>
          </w:tcPr>
          <w:p>
            <w:pPr>
              <w:jc w:val="left"/>
            </w:pPr>
            <w:r/>
            <w:r>
              <w:rPr>
                <w:rFonts w:ascii="Calibri" w:hAnsi="Calibri"/>
                <w:color w:val="343A40"/>
                <w:sz w:val="18"/>
              </w:rPr>
              <w:t>Large section padding (tablet/small desktop).</w:t>
            </w:r>
          </w:p>
        </w:tc>
      </w:tr>
      <w:tr>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space-120</w:t>
            </w:r>
          </w:p>
        </w:tc>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120px</w:t>
            </w:r>
          </w:p>
        </w:tc>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7.5rem</w:t>
            </w:r>
          </w:p>
        </w:tc>
        <w:tc>
          <w:tcPr>
            <w:tcW w:type="dxa" w:w="5760"/>
            <w:vAlign w:val="center"/>
            <w:tcMar>
              <w:top w:w="60" w:type="dxa"/>
              <w:bottom w:w="60" w:type="dxa"/>
              <w:start w:w="80" w:type="dxa"/>
              <w:end w:w="80" w:type="dxa"/>
            </w:tcMar>
            <w:shd w:fill="F8F9FA" w:val="clear"/>
          </w:tcPr>
          <w:p>
            <w:pPr>
              <w:jc w:val="left"/>
            </w:pPr>
            <w:r/>
            <w:r>
              <w:rPr>
                <w:rFonts w:ascii="Calibri" w:hAnsi="Calibri"/>
                <w:color w:val="343A40"/>
                <w:sz w:val="18"/>
              </w:rPr>
              <w:t>Standard section padding (desktop).</w:t>
            </w:r>
          </w:p>
        </w:tc>
      </w:tr>
      <w:tr>
        <w:tc>
          <w:tcPr>
            <w:tcW w:type="dxa" w:w="1440"/>
            <w:vAlign w:val="center"/>
            <w:tcMar>
              <w:top w:w="60" w:type="dxa"/>
              <w:bottom w:w="60" w:type="dxa"/>
              <w:start w:w="80" w:type="dxa"/>
              <w:end w:w="80" w:type="dxa"/>
            </w:tcMar>
          </w:tcPr>
          <w:p>
            <w:pPr>
              <w:jc w:val="left"/>
            </w:pPr>
            <w:r/>
            <w:r>
              <w:rPr>
                <w:rFonts w:ascii="Calibri" w:hAnsi="Calibri"/>
                <w:color w:val="343A40"/>
                <w:sz w:val="18"/>
              </w:rPr>
              <w:t>space-160</w:t>
            </w:r>
          </w:p>
        </w:tc>
        <w:tc>
          <w:tcPr>
            <w:tcW w:type="dxa" w:w="1440"/>
            <w:vAlign w:val="center"/>
            <w:tcMar>
              <w:top w:w="60" w:type="dxa"/>
              <w:bottom w:w="60" w:type="dxa"/>
              <w:start w:w="80" w:type="dxa"/>
              <w:end w:w="80" w:type="dxa"/>
            </w:tcMar>
          </w:tcPr>
          <w:p>
            <w:pPr>
              <w:jc w:val="left"/>
            </w:pPr>
            <w:r/>
            <w:r>
              <w:rPr>
                <w:rFonts w:ascii="Calibri" w:hAnsi="Calibri"/>
                <w:color w:val="343A40"/>
                <w:sz w:val="18"/>
              </w:rPr>
              <w:t>160px</w:t>
            </w:r>
          </w:p>
        </w:tc>
        <w:tc>
          <w:tcPr>
            <w:tcW w:type="dxa" w:w="1440"/>
            <w:vAlign w:val="center"/>
            <w:tcMar>
              <w:top w:w="60" w:type="dxa"/>
              <w:bottom w:w="60" w:type="dxa"/>
              <w:start w:w="80" w:type="dxa"/>
              <w:end w:w="80" w:type="dxa"/>
            </w:tcMar>
          </w:tcPr>
          <w:p>
            <w:pPr>
              <w:jc w:val="left"/>
            </w:pPr>
            <w:r/>
            <w:r>
              <w:rPr>
                <w:rFonts w:ascii="Calibri" w:hAnsi="Calibri"/>
                <w:color w:val="343A40"/>
                <w:sz w:val="18"/>
              </w:rPr>
              <w:t>10.0rem</w:t>
            </w:r>
          </w:p>
        </w:tc>
        <w:tc>
          <w:tcPr>
            <w:tcW w:type="dxa" w:w="5760"/>
            <w:vAlign w:val="center"/>
            <w:tcMar>
              <w:top w:w="60" w:type="dxa"/>
              <w:bottom w:w="60" w:type="dxa"/>
              <w:start w:w="80" w:type="dxa"/>
              <w:end w:w="80" w:type="dxa"/>
            </w:tcMar>
          </w:tcPr>
          <w:p>
            <w:pPr>
              <w:jc w:val="left"/>
            </w:pPr>
            <w:r/>
            <w:r>
              <w:rPr>
                <w:rFonts w:ascii="Calibri" w:hAnsi="Calibri"/>
                <w:color w:val="343A40"/>
                <w:sz w:val="18"/>
              </w:rPr>
              <w:t>Hero section top padding, major structural breaks.</w:t>
            </w:r>
          </w:p>
        </w:tc>
      </w:tr>
    </w:tbl>
    <w:p>
      <w:pPr>
        <w:spacing w:after="80"/>
      </w:pPr>
    </w:p>
    <w:p>
      <w:pPr>
        <w:pStyle w:val="Heading3"/>
      </w:pPr>
      <w:r>
        <w:t>Grid &amp; Layout Architecture</w:t>
      </w:r>
    </w:p>
    <w:p>
      <w:pPr>
        <w:pStyle w:val="ListBullet"/>
        <w:spacing w:before="40" w:after="60"/>
      </w:pPr>
      <w:r>
        <w:rPr>
          <w:rFonts w:ascii="Calibri" w:hAnsi="Calibri"/>
          <w:color w:val="343A40"/>
          <w:sz w:val="21"/>
        </w:rPr>
        <w:t>Grid System: 12-column responsive grid.</w:t>
      </w:r>
    </w:p>
    <w:p>
      <w:pPr>
        <w:pStyle w:val="ListBullet"/>
        <w:spacing w:before="40" w:after="60"/>
      </w:pPr>
      <w:r>
        <w:rPr>
          <w:rFonts w:ascii="Calibri" w:hAnsi="Calibri"/>
          <w:color w:val="343A40"/>
          <w:sz w:val="21"/>
        </w:rPr>
        <w:t>Max Container Width: 1280px (keeps content focused on ultra-wide monitors).</w:t>
      </w:r>
    </w:p>
    <w:p>
      <w:pPr>
        <w:pStyle w:val="ListBullet"/>
        <w:spacing w:before="40" w:after="60"/>
      </w:pPr>
      <w:r>
        <w:rPr>
          <w:rFonts w:ascii="Calibri" w:hAnsi="Calibri"/>
          <w:color w:val="343A40"/>
          <w:sz w:val="21"/>
        </w:rPr>
        <w:t>Desktop Gutters: 32px (generous spacing between columns).</w:t>
      </w:r>
    </w:p>
    <w:p>
      <w:pPr>
        <w:pStyle w:val="ListBullet"/>
        <w:spacing w:before="40" w:after="60"/>
      </w:pPr>
      <w:r>
        <w:rPr>
          <w:rFonts w:ascii="Calibri" w:hAnsi="Calibri"/>
          <w:color w:val="343A40"/>
          <w:sz w:val="21"/>
        </w:rPr>
        <w:t>Tablet Gutters: 24px.</w:t>
      </w:r>
    </w:p>
    <w:p>
      <w:pPr>
        <w:pStyle w:val="ListBullet"/>
        <w:spacing w:before="40" w:after="60"/>
      </w:pPr>
      <w:r>
        <w:rPr>
          <w:rFonts w:ascii="Calibri" w:hAnsi="Calibri"/>
          <w:color w:val="343A40"/>
          <w:sz w:val="21"/>
        </w:rPr>
        <w:t>Mobile Gutters: 16px.</w:t>
      </w:r>
    </w:p>
    <w:p>
      <w:pPr>
        <w:pStyle w:val="ListBullet"/>
        <w:spacing w:before="40" w:after="60"/>
      </w:pPr>
      <w:r>
        <w:rPr>
          <w:rFonts w:ascii="Calibri" w:hAnsi="Calibri"/>
          <w:color w:val="343A40"/>
          <w:sz w:val="21"/>
        </w:rPr>
        <w:t>Alignment: Prefer left-alignment for text (highly readable). Center alignment is reserved strictly for short, high-impact hero text or standalone quotes.</w:t>
      </w:r>
    </w:p>
    <w:p>
      <w:r>
        <w:br w:type="page"/>
      </w:r>
    </w:p>
    <w:p>
      <w:pPr>
        <w:pStyle w:val="Heading1"/>
      </w:pPr>
      <w:r>
        <w:t>Color Strategy</w:t>
      </w:r>
    </w:p>
    <w:p>
      <w:r>
        <w:rPr>
          <w:rFonts w:ascii="Calibri" w:hAnsi="Calibri"/>
          <w:b w:val="0"/>
          <w:i w:val="0"/>
          <w:color w:val="343A40"/>
          <w:sz w:val="21"/>
        </w:rPr>
        <w:t>The color palette conveys institutional authority, stability, and premium service. The primary Navy instills trust, while the Gold acts as a sophisticated accent.</w:t>
      </w:r>
    </w:p>
    <w:p>
      <w:pPr>
        <w:pStyle w:val="Heading3"/>
      </w:pPr>
      <w:r>
        <w:t>Primary Brand Colors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85"/>
        <w:gridCol w:w="2185"/>
        <w:gridCol w:w="2185"/>
        <w:gridCol w:w="2185"/>
      </w:tblGrid>
      <w:tr>
        <w:tc>
          <w:tcPr>
            <w:tcW w:type="dxa" w:w="2160"/>
            <w:shd w:fill="1B2A4A" w:val="clear"/>
            <w:vAlign w:val="center"/>
            <w:tcMar>
              <w:top w:w="60" w:type="dxa"/>
              <w:bottom w:w="60" w:type="dxa"/>
              <w:start w:w="80" w:type="dxa"/>
              <w:end w:w="80" w:type="dxa"/>
            </w:tcMar>
          </w:tcPr>
          <w:p>
            <w:pPr>
              <w:jc w:val="left"/>
            </w:pPr>
            <w:r/>
            <w:r>
              <w:rPr>
                <w:rFonts w:ascii="Calibri" w:hAnsi="Calibri"/>
                <w:b/>
                <w:color w:val="FFFFFF"/>
                <w:sz w:val="19"/>
              </w:rPr>
              <w:t>Color Name</w:t>
            </w:r>
          </w:p>
        </w:tc>
        <w:tc>
          <w:tcPr>
            <w:tcW w:type="dxa" w:w="1440"/>
            <w:shd w:fill="1B2A4A" w:val="clear"/>
            <w:vAlign w:val="center"/>
            <w:tcMar>
              <w:top w:w="60" w:type="dxa"/>
              <w:bottom w:w="60" w:type="dxa"/>
              <w:start w:w="80" w:type="dxa"/>
              <w:end w:w="80" w:type="dxa"/>
            </w:tcMar>
          </w:tcPr>
          <w:p>
            <w:pPr>
              <w:jc w:val="left"/>
            </w:pPr>
            <w:r/>
            <w:r>
              <w:rPr>
                <w:rFonts w:ascii="Calibri" w:hAnsi="Calibri"/>
                <w:b/>
                <w:color w:val="FFFFFF"/>
                <w:sz w:val="19"/>
              </w:rPr>
              <w:t>Hex Code</w:t>
            </w:r>
          </w:p>
        </w:tc>
        <w:tc>
          <w:tcPr>
            <w:tcW w:type="dxa" w:w="1440"/>
            <w:shd w:fill="1B2A4A" w:val="clear"/>
            <w:vAlign w:val="center"/>
            <w:tcMar>
              <w:top w:w="60" w:type="dxa"/>
              <w:bottom w:w="60" w:type="dxa"/>
              <w:start w:w="80" w:type="dxa"/>
              <w:end w:w="80" w:type="dxa"/>
            </w:tcMar>
          </w:tcPr>
          <w:p>
            <w:pPr>
              <w:jc w:val="left"/>
            </w:pPr>
            <w:r/>
            <w:r>
              <w:rPr>
                <w:rFonts w:ascii="Calibri" w:hAnsi="Calibri"/>
                <w:b/>
                <w:color w:val="FFFFFF"/>
                <w:sz w:val="19"/>
              </w:rPr>
              <w:t>RGB</w:t>
            </w:r>
          </w:p>
        </w:tc>
        <w:tc>
          <w:tcPr>
            <w:tcW w:type="dxa" w:w="5760"/>
            <w:shd w:fill="1B2A4A" w:val="clear"/>
            <w:vAlign w:val="center"/>
            <w:tcMar>
              <w:top w:w="60" w:type="dxa"/>
              <w:bottom w:w="60" w:type="dxa"/>
              <w:start w:w="80" w:type="dxa"/>
              <w:end w:w="80" w:type="dxa"/>
            </w:tcMar>
          </w:tcPr>
          <w:p>
            <w:pPr>
              <w:jc w:val="left"/>
            </w:pPr>
            <w:r/>
            <w:r>
              <w:rPr>
                <w:rFonts w:ascii="Calibri" w:hAnsi="Calibri"/>
                <w:b/>
                <w:color w:val="FFFFFF"/>
                <w:sz w:val="19"/>
              </w:rPr>
              <w:t>Usage Rule</w:t>
            </w:r>
          </w:p>
        </w:tc>
      </w:tr>
      <w:tr>
        <w:tc>
          <w:tcPr>
            <w:tcW w:type="dxa" w:w="2160"/>
            <w:vAlign w:val="center"/>
            <w:tcMar>
              <w:top w:w="60" w:type="dxa"/>
              <w:bottom w:w="60" w:type="dxa"/>
              <w:start w:w="80" w:type="dxa"/>
              <w:end w:w="80" w:type="dxa"/>
            </w:tcMar>
          </w:tcPr>
          <w:p>
            <w:pPr>
              <w:jc w:val="left"/>
            </w:pPr>
            <w:r/>
            <w:r>
              <w:rPr>
                <w:rFonts w:ascii="Calibri" w:hAnsi="Calibri"/>
                <w:color w:val="343A40"/>
                <w:sz w:val="18"/>
              </w:rPr>
              <w:t>Brand Navy (Primary)</w:t>
            </w:r>
          </w:p>
        </w:tc>
        <w:tc>
          <w:tcPr>
            <w:tcW w:type="dxa" w:w="1440"/>
            <w:vAlign w:val="center"/>
            <w:tcMar>
              <w:top w:w="60" w:type="dxa"/>
              <w:bottom w:w="60" w:type="dxa"/>
              <w:start w:w="80" w:type="dxa"/>
              <w:end w:w="80" w:type="dxa"/>
            </w:tcMar>
          </w:tcPr>
          <w:p>
            <w:pPr>
              <w:jc w:val="left"/>
            </w:pPr>
            <w:r/>
            <w:r>
              <w:rPr>
                <w:rFonts w:ascii="Calibri" w:hAnsi="Calibri"/>
                <w:color w:val="343A40"/>
                <w:sz w:val="18"/>
              </w:rPr>
              <w:t>#1B2A4A</w:t>
            </w:r>
          </w:p>
        </w:tc>
        <w:tc>
          <w:tcPr>
            <w:tcW w:type="dxa" w:w="1440"/>
            <w:vAlign w:val="center"/>
            <w:tcMar>
              <w:top w:w="60" w:type="dxa"/>
              <w:bottom w:w="60" w:type="dxa"/>
              <w:start w:w="80" w:type="dxa"/>
              <w:end w:w="80" w:type="dxa"/>
            </w:tcMar>
          </w:tcPr>
          <w:p>
            <w:pPr>
              <w:jc w:val="left"/>
            </w:pPr>
            <w:r/>
            <w:r>
              <w:rPr>
                <w:rFonts w:ascii="Calibri" w:hAnsi="Calibri"/>
                <w:color w:val="343A40"/>
                <w:sz w:val="18"/>
              </w:rPr>
              <w:t>27, 42, 74</w:t>
            </w:r>
          </w:p>
        </w:tc>
        <w:tc>
          <w:tcPr>
            <w:tcW w:type="dxa" w:w="5760"/>
            <w:vAlign w:val="center"/>
            <w:tcMar>
              <w:top w:w="60" w:type="dxa"/>
              <w:bottom w:w="60" w:type="dxa"/>
              <w:start w:w="80" w:type="dxa"/>
              <w:end w:w="80" w:type="dxa"/>
            </w:tcMar>
          </w:tcPr>
          <w:p>
            <w:pPr>
              <w:jc w:val="left"/>
            </w:pPr>
            <w:r/>
            <w:r>
              <w:rPr>
                <w:rFonts w:ascii="Calibri" w:hAnsi="Calibri"/>
                <w:color w:val="343A40"/>
                <w:sz w:val="18"/>
              </w:rPr>
              <w:t>Primary structural color. Used for headers, hero backgrounds, primary text, footer backgrounds. The anchor of the brand.</w:t>
            </w:r>
          </w:p>
        </w:tc>
      </w:tr>
      <w:tr>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Brand Gold (Accent)</w:t>
            </w:r>
          </w:p>
        </w:tc>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#C9A96E</w:t>
            </w:r>
          </w:p>
        </w:tc>
        <w:tc>
          <w:tcPr>
            <w:tcW w:type="dxa" w:w="1440"/>
            <w:vAlign w:val="center"/>
            <w:tcMar>
              <w:top w:w="60" w:type="dxa"/>
              <w:bottom w:w="60" w:type="dxa"/>
              <w:start w:w="80" w:type="dxa"/>
              <w:end w:w="80" w:type="dxa"/>
            </w:tcMar>
            <w:shd w:fill="F8F9FA" w:val="clear"/>
          </w:tcPr>
          <w:p>
            <w:pPr>
              <w:jc w:val="left"/>
            </w:pPr>
            <w:r/>
            <w:r>
              <w:rPr>
                <w:rFonts w:ascii="Calibri" w:hAnsi="Calibri"/>
                <w:color w:val="343A40"/>
                <w:sz w:val="18"/>
              </w:rPr>
              <w:t>201, 169, 110</w:t>
            </w:r>
          </w:p>
        </w:tc>
        <w:tc>
          <w:tcPr>
            <w:tcW w:type="dxa" w:w="5760"/>
            <w:vAlign w:val="center"/>
            <w:tcMar>
              <w:top w:w="60" w:type="dxa"/>
              <w:bottom w:w="60" w:type="dxa"/>
              <w:start w:w="80" w:type="dxa"/>
              <w:end w:w="80" w:type="dxa"/>
            </w:tcMar>
            <w:shd w:fill="F8F9FA" w:val="clear"/>
          </w:tcPr>
          <w:p>
            <w:pPr>
              <w:jc w:val="left"/>
            </w:pPr>
            <w:r/>
            <w:r>
              <w:rPr>
                <w:rFonts w:ascii="Calibri" w:hAnsi="Calibri"/>
                <w:color w:val="343A40"/>
                <w:sz w:val="18"/>
              </w:rPr>
              <w:t>High-value interactions. Primary CTA buttons, subtle active states, structural underlines. Use sparingly for maximum impact.</w:t>
            </w:r>
          </w:p>
        </w:tc>
      </w:tr>
    </w:tbl>
    <w:p>
      <w:pPr>
        <w:spacing w:after="80"/>
      </w:pPr>
    </w:p>
    <w:p>
      <w:pPr>
        <w:pStyle w:val="Heading3"/>
      </w:pPr>
      <w:r>
        <w:t>Neutral Scale (Structure &amp; Typography)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14"/>
        <w:gridCol w:w="2914"/>
        <w:gridCol w:w="2914"/>
      </w:tblGrid>
      <w:tr>
        <w:tc>
          <w:tcPr>
            <w:tcW w:type="dxa" w:w="2160"/>
            <w:shd w:fill="1B2A4A" w:val="clear"/>
            <w:vAlign w:val="center"/>
            <w:tcMar>
              <w:top w:w="60" w:type="dxa"/>
              <w:bottom w:w="60" w:type="dxa"/>
              <w:start w:w="80" w:type="dxa"/>
              <w:end w:w="80" w:type="dxa"/>
            </w:tcMar>
          </w:tcPr>
          <w:p>
            <w:pPr>
              <w:jc w:val="left"/>
            </w:pPr>
            <w:r/>
            <w:r>
              <w:rPr>
                <w:rFonts w:ascii="Calibri" w:hAnsi="Calibri"/>
                <w:b/>
                <w:color w:val="FFFFFF"/>
                <w:sz w:val="19"/>
              </w:rPr>
              <w:t>Token</w:t>
            </w:r>
          </w:p>
        </w:tc>
        <w:tc>
          <w:tcPr>
            <w:tcW w:type="dxa" w:w="2160"/>
            <w:shd w:fill="1B2A4A" w:val="clear"/>
            <w:vAlign w:val="center"/>
            <w:tcMar>
              <w:top w:w="60" w:type="dxa"/>
              <w:bottom w:w="60" w:type="dxa"/>
              <w:start w:w="80" w:type="dxa"/>
              <w:end w:w="80" w:type="dxa"/>
            </w:tcMar>
          </w:tcPr>
          <w:p>
            <w:pPr>
              <w:jc w:val="left"/>
            </w:pPr>
            <w:r/>
            <w:r>
              <w:rPr>
                <w:rFonts w:ascii="Calibri" w:hAnsi="Calibri"/>
                <w:b/>
                <w:color w:val="FFFFFF"/>
                <w:sz w:val="19"/>
              </w:rPr>
              <w:t>Hex Code</w:t>
            </w:r>
          </w:p>
        </w:tc>
        <w:tc>
          <w:tcPr>
            <w:tcW w:type="dxa" w:w="6480"/>
            <w:shd w:fill="1B2A4A" w:val="clear"/>
            <w:vAlign w:val="center"/>
            <w:tcMar>
              <w:top w:w="60" w:type="dxa"/>
              <w:bottom w:w="60" w:type="dxa"/>
              <w:start w:w="80" w:type="dxa"/>
              <w:end w:w="80" w:type="dxa"/>
            </w:tcMar>
          </w:tcPr>
          <w:p>
            <w:pPr>
              <w:jc w:val="left"/>
            </w:pPr>
            <w:r/>
            <w:r>
              <w:rPr>
                <w:rFonts w:ascii="Calibri" w:hAnsi="Calibri"/>
                <w:b/>
                <w:color w:val="FFFFFF"/>
                <w:sz w:val="19"/>
              </w:rPr>
              <w:t>Usage Application</w:t>
            </w:r>
          </w:p>
        </w:tc>
      </w:tr>
      <w:tr>
        <w:tc>
          <w:tcPr>
            <w:tcW w:type="dxa" w:w="2160"/>
            <w:vAlign w:val="center"/>
            <w:tcMar>
              <w:top w:w="60" w:type="dxa"/>
              <w:bottom w:w="60" w:type="dxa"/>
              <w:start w:w="80" w:type="dxa"/>
              <w:end w:w="80" w:type="dxa"/>
            </w:tcMar>
          </w:tcPr>
          <w:p>
            <w:pPr>
              <w:jc w:val="left"/>
            </w:pPr>
            <w:r/>
            <w:r>
              <w:rPr>
                <w:rFonts w:ascii="Calibri" w:hAnsi="Calibri"/>
                <w:color w:val="343A40"/>
                <w:sz w:val="18"/>
              </w:rPr>
              <w:t>White</w:t>
            </w:r>
          </w:p>
        </w:tc>
        <w:tc>
          <w:tcPr>
            <w:tcW w:type="dxa" w:w="2160"/>
            <w:vAlign w:val="center"/>
            <w:tcMar>
              <w:top w:w="60" w:type="dxa"/>
              <w:bottom w:w="60" w:type="dxa"/>
              <w:start w:w="80" w:type="dxa"/>
              <w:end w:w="80" w:type="dxa"/>
            </w:tcMar>
          </w:tcPr>
          <w:p>
            <w:pPr>
              <w:jc w:val="left"/>
            </w:pPr>
            <w:r/>
            <w:r>
              <w:rPr>
                <w:rFonts w:ascii="Calibri" w:hAnsi="Calibri"/>
                <w:color w:val="343A40"/>
                <w:sz w:val="18"/>
              </w:rPr>
              <w:t>#FFFFFF</w:t>
            </w:r>
          </w:p>
        </w:tc>
        <w:tc>
          <w:tcPr>
            <w:tcW w:type="dxa" w:w="6480"/>
            <w:vAlign w:val="center"/>
            <w:tcMar>
              <w:top w:w="60" w:type="dxa"/>
              <w:bottom w:w="60" w:type="dxa"/>
              <w:start w:w="80" w:type="dxa"/>
              <w:end w:w="80" w:type="dxa"/>
            </w:tcMar>
          </w:tcPr>
          <w:p>
            <w:pPr>
              <w:jc w:val="left"/>
            </w:pPr>
            <w:r/>
            <w:r>
              <w:rPr>
                <w:rFonts w:ascii="Calibri" w:hAnsi="Calibri"/>
                <w:color w:val="343A40"/>
                <w:sz w:val="18"/>
              </w:rPr>
              <w:t>Primary page background, card backgrounds.</w:t>
            </w:r>
          </w:p>
        </w:tc>
      </w:tr>
      <w:tr>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Gray 50</w:t>
            </w:r>
          </w:p>
        </w:tc>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#F8F9FA</w:t>
            </w:r>
          </w:p>
        </w:tc>
        <w:tc>
          <w:tcPr>
            <w:tcW w:type="dxa" w:w="6480"/>
            <w:vAlign w:val="center"/>
            <w:tcMar>
              <w:top w:w="60" w:type="dxa"/>
              <w:bottom w:w="60" w:type="dxa"/>
              <w:start w:w="80" w:type="dxa"/>
              <w:end w:w="80" w:type="dxa"/>
            </w:tcMar>
            <w:shd w:fill="F8F9FA" w:val="clear"/>
          </w:tcPr>
          <w:p>
            <w:pPr>
              <w:jc w:val="left"/>
            </w:pPr>
            <w:r/>
            <w:r>
              <w:rPr>
                <w:rFonts w:ascii="Calibri" w:hAnsi="Calibri"/>
                <w:color w:val="343A40"/>
                <w:sz w:val="18"/>
              </w:rPr>
              <w:t>Secondary background (subtle offset for alternating sections).</w:t>
            </w:r>
          </w:p>
        </w:tc>
      </w:tr>
      <w:tr>
        <w:tc>
          <w:tcPr>
            <w:tcW w:type="dxa" w:w="2160"/>
            <w:vAlign w:val="center"/>
            <w:tcMar>
              <w:top w:w="60" w:type="dxa"/>
              <w:bottom w:w="60" w:type="dxa"/>
              <w:start w:w="80" w:type="dxa"/>
              <w:end w:w="80" w:type="dxa"/>
            </w:tcMar>
          </w:tcPr>
          <w:p>
            <w:pPr>
              <w:jc w:val="left"/>
            </w:pPr>
            <w:r/>
            <w:r>
              <w:rPr>
                <w:rFonts w:ascii="Calibri" w:hAnsi="Calibri"/>
                <w:color w:val="343A40"/>
                <w:sz w:val="18"/>
              </w:rPr>
              <w:t>Gray 100</w:t>
            </w:r>
          </w:p>
        </w:tc>
        <w:tc>
          <w:tcPr>
            <w:tcW w:type="dxa" w:w="2160"/>
            <w:vAlign w:val="center"/>
            <w:tcMar>
              <w:top w:w="60" w:type="dxa"/>
              <w:bottom w:w="60" w:type="dxa"/>
              <w:start w:w="80" w:type="dxa"/>
              <w:end w:w="80" w:type="dxa"/>
            </w:tcMar>
          </w:tcPr>
          <w:p>
            <w:pPr>
              <w:jc w:val="left"/>
            </w:pPr>
            <w:r/>
            <w:r>
              <w:rPr>
                <w:rFonts w:ascii="Calibri" w:hAnsi="Calibri"/>
                <w:color w:val="343A40"/>
                <w:sz w:val="18"/>
              </w:rPr>
              <w:t>#F1F3F5</w:t>
            </w:r>
          </w:p>
        </w:tc>
        <w:tc>
          <w:tcPr>
            <w:tcW w:type="dxa" w:w="6480"/>
            <w:vAlign w:val="center"/>
            <w:tcMar>
              <w:top w:w="60" w:type="dxa"/>
              <w:bottom w:w="60" w:type="dxa"/>
              <w:start w:w="80" w:type="dxa"/>
              <w:end w:w="80" w:type="dxa"/>
            </w:tcMar>
          </w:tcPr>
          <w:p>
            <w:pPr>
              <w:jc w:val="left"/>
            </w:pPr>
            <w:r/>
            <w:r>
              <w:rPr>
                <w:rFonts w:ascii="Calibri" w:hAnsi="Calibri"/>
                <w:color w:val="343A40"/>
                <w:sz w:val="18"/>
              </w:rPr>
              <w:t>Hover states for cards, subtle borders.</w:t>
            </w:r>
          </w:p>
        </w:tc>
      </w:tr>
      <w:tr>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Gray 200</w:t>
            </w:r>
          </w:p>
        </w:tc>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#E9ECEF</w:t>
            </w:r>
          </w:p>
        </w:tc>
        <w:tc>
          <w:tcPr>
            <w:tcW w:type="dxa" w:w="6480"/>
            <w:vAlign w:val="center"/>
            <w:tcMar>
              <w:top w:w="60" w:type="dxa"/>
              <w:bottom w:w="60" w:type="dxa"/>
              <w:start w:w="80" w:type="dxa"/>
              <w:end w:w="80" w:type="dxa"/>
            </w:tcMar>
            <w:shd w:fill="F8F9FA" w:val="clear"/>
          </w:tcPr>
          <w:p>
            <w:pPr>
              <w:jc w:val="left"/>
            </w:pPr>
            <w:r/>
            <w:r>
              <w:rPr>
                <w:rFonts w:ascii="Calibri" w:hAnsi="Calibri"/>
                <w:color w:val="343A40"/>
                <w:sz w:val="18"/>
              </w:rPr>
              <w:t>Standard component borders, dividers.</w:t>
            </w:r>
          </w:p>
        </w:tc>
      </w:tr>
      <w:tr>
        <w:tc>
          <w:tcPr>
            <w:tcW w:type="dxa" w:w="2160"/>
            <w:vAlign w:val="center"/>
            <w:tcMar>
              <w:top w:w="60" w:type="dxa"/>
              <w:bottom w:w="60" w:type="dxa"/>
              <w:start w:w="80" w:type="dxa"/>
              <w:end w:w="80" w:type="dxa"/>
            </w:tcMar>
          </w:tcPr>
          <w:p>
            <w:pPr>
              <w:jc w:val="left"/>
            </w:pPr>
            <w:r/>
            <w:r>
              <w:rPr>
                <w:rFonts w:ascii="Calibri" w:hAnsi="Calibri"/>
                <w:color w:val="343A40"/>
                <w:sz w:val="18"/>
              </w:rPr>
              <w:t>Gray 400</w:t>
            </w:r>
          </w:p>
        </w:tc>
        <w:tc>
          <w:tcPr>
            <w:tcW w:type="dxa" w:w="2160"/>
            <w:vAlign w:val="center"/>
            <w:tcMar>
              <w:top w:w="60" w:type="dxa"/>
              <w:bottom w:w="60" w:type="dxa"/>
              <w:start w:w="80" w:type="dxa"/>
              <w:end w:w="80" w:type="dxa"/>
            </w:tcMar>
          </w:tcPr>
          <w:p>
            <w:pPr>
              <w:jc w:val="left"/>
            </w:pPr>
            <w:r/>
            <w:r>
              <w:rPr>
                <w:rFonts w:ascii="Calibri" w:hAnsi="Calibri"/>
                <w:color w:val="343A40"/>
                <w:sz w:val="18"/>
              </w:rPr>
              <w:t>#CED4DA</w:t>
            </w:r>
          </w:p>
        </w:tc>
        <w:tc>
          <w:tcPr>
            <w:tcW w:type="dxa" w:w="6480"/>
            <w:vAlign w:val="center"/>
            <w:tcMar>
              <w:top w:w="60" w:type="dxa"/>
              <w:bottom w:w="60" w:type="dxa"/>
              <w:start w:w="80" w:type="dxa"/>
              <w:end w:w="80" w:type="dxa"/>
            </w:tcMar>
          </w:tcPr>
          <w:p>
            <w:pPr>
              <w:jc w:val="left"/>
            </w:pPr>
            <w:r/>
            <w:r>
              <w:rPr>
                <w:rFonts w:ascii="Calibri" w:hAnsi="Calibri"/>
                <w:color w:val="343A40"/>
                <w:sz w:val="18"/>
              </w:rPr>
              <w:t>Disabled states, placeholder text.</w:t>
            </w:r>
          </w:p>
        </w:tc>
      </w:tr>
      <w:tr>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Gray 600</w:t>
            </w:r>
          </w:p>
        </w:tc>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#868E96</w:t>
            </w:r>
          </w:p>
        </w:tc>
        <w:tc>
          <w:tcPr>
            <w:tcW w:type="dxa" w:w="6480"/>
            <w:vAlign w:val="center"/>
            <w:tcMar>
              <w:top w:w="60" w:type="dxa"/>
              <w:bottom w:w="60" w:type="dxa"/>
              <w:start w:w="80" w:type="dxa"/>
              <w:end w:w="80" w:type="dxa"/>
            </w:tcMar>
            <w:shd w:fill="F8F9FA" w:val="clear"/>
          </w:tcPr>
          <w:p>
            <w:pPr>
              <w:jc w:val="left"/>
            </w:pPr>
            <w:r/>
            <w:r>
              <w:rPr>
                <w:rFonts w:ascii="Calibri" w:hAnsi="Calibri"/>
                <w:color w:val="343A40"/>
                <w:sz w:val="18"/>
              </w:rPr>
              <w:t>Secondary text, metadata, captions.</w:t>
            </w:r>
          </w:p>
        </w:tc>
      </w:tr>
      <w:tr>
        <w:tc>
          <w:tcPr>
            <w:tcW w:type="dxa" w:w="2160"/>
            <w:vAlign w:val="center"/>
            <w:tcMar>
              <w:top w:w="60" w:type="dxa"/>
              <w:bottom w:w="60" w:type="dxa"/>
              <w:start w:w="80" w:type="dxa"/>
              <w:end w:w="80" w:type="dxa"/>
            </w:tcMar>
          </w:tcPr>
          <w:p>
            <w:pPr>
              <w:jc w:val="left"/>
            </w:pPr>
            <w:r/>
            <w:r>
              <w:rPr>
                <w:rFonts w:ascii="Calibri" w:hAnsi="Calibri"/>
                <w:color w:val="343A40"/>
                <w:sz w:val="18"/>
              </w:rPr>
              <w:t>Gray 800</w:t>
            </w:r>
          </w:p>
        </w:tc>
        <w:tc>
          <w:tcPr>
            <w:tcW w:type="dxa" w:w="2160"/>
            <w:vAlign w:val="center"/>
            <w:tcMar>
              <w:top w:w="60" w:type="dxa"/>
              <w:bottom w:w="60" w:type="dxa"/>
              <w:start w:w="80" w:type="dxa"/>
              <w:end w:w="80" w:type="dxa"/>
            </w:tcMar>
          </w:tcPr>
          <w:p>
            <w:pPr>
              <w:jc w:val="left"/>
            </w:pPr>
            <w:r/>
            <w:r>
              <w:rPr>
                <w:rFonts w:ascii="Calibri" w:hAnsi="Calibri"/>
                <w:color w:val="343A40"/>
                <w:sz w:val="18"/>
              </w:rPr>
              <w:t>#343A40</w:t>
            </w:r>
          </w:p>
        </w:tc>
        <w:tc>
          <w:tcPr>
            <w:tcW w:type="dxa" w:w="6480"/>
            <w:vAlign w:val="center"/>
            <w:tcMar>
              <w:top w:w="60" w:type="dxa"/>
              <w:bottom w:w="60" w:type="dxa"/>
              <w:start w:w="80" w:type="dxa"/>
              <w:end w:w="80" w:type="dxa"/>
            </w:tcMar>
          </w:tcPr>
          <w:p>
            <w:pPr>
              <w:jc w:val="left"/>
            </w:pPr>
            <w:r/>
            <w:r>
              <w:rPr>
                <w:rFonts w:ascii="Calibri" w:hAnsi="Calibri"/>
                <w:color w:val="343A40"/>
                <w:sz w:val="18"/>
              </w:rPr>
              <w:t>Body text. (Softer than pure black for reading ease).</w:t>
            </w:r>
          </w:p>
        </w:tc>
      </w:tr>
      <w:tr>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Navy Dark</w:t>
            </w:r>
          </w:p>
        </w:tc>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#0F172A</w:t>
            </w:r>
          </w:p>
        </w:tc>
        <w:tc>
          <w:tcPr>
            <w:tcW w:type="dxa" w:w="6480"/>
            <w:vAlign w:val="center"/>
            <w:tcMar>
              <w:top w:w="60" w:type="dxa"/>
              <w:bottom w:w="60" w:type="dxa"/>
              <w:start w:w="80" w:type="dxa"/>
              <w:end w:w="80" w:type="dxa"/>
            </w:tcMar>
            <w:shd w:fill="F8F9FA" w:val="clear"/>
          </w:tcPr>
          <w:p>
            <w:pPr>
              <w:jc w:val="left"/>
            </w:pPr>
            <w:r/>
            <w:r>
              <w:rPr>
                <w:rFonts w:ascii="Calibri" w:hAnsi="Calibri"/>
                <w:color w:val="343A40"/>
                <w:sz w:val="18"/>
              </w:rPr>
              <w:t>High contrast headers, extremely deep backgrounds.</w:t>
            </w:r>
          </w:p>
        </w:tc>
      </w:tr>
    </w:tbl>
    <w:p>
      <w:pPr>
        <w:spacing w:after="80"/>
      </w:pPr>
    </w:p>
    <w:p>
      <w:pPr>
        <w:pStyle w:val="Heading3"/>
      </w:pPr>
      <w:r>
        <w:t>Semantic &amp; Status Colors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14"/>
        <w:gridCol w:w="2914"/>
        <w:gridCol w:w="2914"/>
      </w:tblGrid>
      <w:tr>
        <w:tc>
          <w:tcPr>
            <w:tcW w:type="dxa" w:w="2160"/>
            <w:shd w:fill="1B2A4A" w:val="clear"/>
            <w:vAlign w:val="center"/>
            <w:tcMar>
              <w:top w:w="60" w:type="dxa"/>
              <w:bottom w:w="60" w:type="dxa"/>
              <w:start w:w="80" w:type="dxa"/>
              <w:end w:w="80" w:type="dxa"/>
            </w:tcMar>
          </w:tcPr>
          <w:p>
            <w:pPr>
              <w:jc w:val="left"/>
            </w:pPr>
            <w:r/>
            <w:r>
              <w:rPr>
                <w:rFonts w:ascii="Calibri" w:hAnsi="Calibri"/>
                <w:b/>
                <w:color w:val="FFFFFF"/>
                <w:sz w:val="19"/>
              </w:rPr>
              <w:t>Token</w:t>
            </w:r>
          </w:p>
        </w:tc>
        <w:tc>
          <w:tcPr>
            <w:tcW w:type="dxa" w:w="2160"/>
            <w:shd w:fill="1B2A4A" w:val="clear"/>
            <w:vAlign w:val="center"/>
            <w:tcMar>
              <w:top w:w="60" w:type="dxa"/>
              <w:bottom w:w="60" w:type="dxa"/>
              <w:start w:w="80" w:type="dxa"/>
              <w:end w:w="80" w:type="dxa"/>
            </w:tcMar>
          </w:tcPr>
          <w:p>
            <w:pPr>
              <w:jc w:val="left"/>
            </w:pPr>
            <w:r/>
            <w:r>
              <w:rPr>
                <w:rFonts w:ascii="Calibri" w:hAnsi="Calibri"/>
                <w:b/>
                <w:color w:val="FFFFFF"/>
                <w:sz w:val="19"/>
              </w:rPr>
              <w:t>Hex Code</w:t>
            </w:r>
          </w:p>
        </w:tc>
        <w:tc>
          <w:tcPr>
            <w:tcW w:type="dxa" w:w="6480"/>
            <w:shd w:fill="1B2A4A" w:val="clear"/>
            <w:vAlign w:val="center"/>
            <w:tcMar>
              <w:top w:w="60" w:type="dxa"/>
              <w:bottom w:w="60" w:type="dxa"/>
              <w:start w:w="80" w:type="dxa"/>
              <w:end w:w="80" w:type="dxa"/>
            </w:tcMar>
          </w:tcPr>
          <w:p>
            <w:pPr>
              <w:jc w:val="left"/>
            </w:pPr>
            <w:r/>
            <w:r>
              <w:rPr>
                <w:rFonts w:ascii="Calibri" w:hAnsi="Calibri"/>
                <w:b/>
                <w:color w:val="FFFFFF"/>
                <w:sz w:val="19"/>
              </w:rPr>
              <w:t>Usage Application</w:t>
            </w:r>
          </w:p>
        </w:tc>
      </w:tr>
      <w:tr>
        <w:tc>
          <w:tcPr>
            <w:tcW w:type="dxa" w:w="2160"/>
            <w:vAlign w:val="center"/>
            <w:tcMar>
              <w:top w:w="60" w:type="dxa"/>
              <w:bottom w:w="60" w:type="dxa"/>
              <w:start w:w="80" w:type="dxa"/>
              <w:end w:w="80" w:type="dxa"/>
            </w:tcMar>
          </w:tcPr>
          <w:p>
            <w:pPr>
              <w:jc w:val="left"/>
            </w:pPr>
            <w:r/>
            <w:r>
              <w:rPr>
                <w:rFonts w:ascii="Calibri" w:hAnsi="Calibri"/>
                <w:color w:val="343A40"/>
                <w:sz w:val="18"/>
              </w:rPr>
              <w:t>Success</w:t>
            </w:r>
          </w:p>
        </w:tc>
        <w:tc>
          <w:tcPr>
            <w:tcW w:type="dxa" w:w="2160"/>
            <w:vAlign w:val="center"/>
            <w:tcMar>
              <w:top w:w="60" w:type="dxa"/>
              <w:bottom w:w="60" w:type="dxa"/>
              <w:start w:w="80" w:type="dxa"/>
              <w:end w:w="80" w:type="dxa"/>
            </w:tcMar>
          </w:tcPr>
          <w:p>
            <w:pPr>
              <w:jc w:val="left"/>
            </w:pPr>
            <w:r/>
            <w:r>
              <w:rPr>
                <w:rFonts w:ascii="Calibri" w:hAnsi="Calibri"/>
                <w:color w:val="343A40"/>
                <w:sz w:val="18"/>
              </w:rPr>
              <w:t>#059669</w:t>
            </w:r>
          </w:p>
        </w:tc>
        <w:tc>
          <w:tcPr>
            <w:tcW w:type="dxa" w:w="6480"/>
            <w:vAlign w:val="center"/>
            <w:tcMar>
              <w:top w:w="60" w:type="dxa"/>
              <w:bottom w:w="60" w:type="dxa"/>
              <w:start w:w="80" w:type="dxa"/>
              <w:end w:w="80" w:type="dxa"/>
            </w:tcMar>
          </w:tcPr>
          <w:p>
            <w:pPr>
              <w:jc w:val="left"/>
            </w:pPr>
            <w:r/>
            <w:r>
              <w:rPr>
                <w:rFonts w:ascii="Calibri" w:hAnsi="Calibri"/>
                <w:color w:val="343A40"/>
                <w:sz w:val="18"/>
              </w:rPr>
              <w:t>Form completion, positive indicators, systemic confirmations.</w:t>
            </w:r>
          </w:p>
        </w:tc>
      </w:tr>
      <w:tr>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Warning</w:t>
            </w:r>
          </w:p>
        </w:tc>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#D97706</w:t>
            </w:r>
          </w:p>
        </w:tc>
        <w:tc>
          <w:tcPr>
            <w:tcW w:type="dxa" w:w="6480"/>
            <w:vAlign w:val="center"/>
            <w:tcMar>
              <w:top w:w="60" w:type="dxa"/>
              <w:bottom w:w="60" w:type="dxa"/>
              <w:start w:w="80" w:type="dxa"/>
              <w:end w:w="80" w:type="dxa"/>
            </w:tcMar>
            <w:shd w:fill="F8F9FA" w:val="clear"/>
          </w:tcPr>
          <w:p>
            <w:pPr>
              <w:jc w:val="left"/>
            </w:pPr>
            <w:r/>
            <w:r>
              <w:rPr>
                <w:rFonts w:ascii="Calibri" w:hAnsi="Calibri"/>
                <w:color w:val="343A40"/>
                <w:sz w:val="18"/>
              </w:rPr>
              <w:t>Important notices, mid-level alerts.</w:t>
            </w:r>
          </w:p>
        </w:tc>
      </w:tr>
      <w:tr>
        <w:tc>
          <w:tcPr>
            <w:tcW w:type="dxa" w:w="2160"/>
            <w:vAlign w:val="center"/>
            <w:tcMar>
              <w:top w:w="60" w:type="dxa"/>
              <w:bottom w:w="60" w:type="dxa"/>
              <w:start w:w="80" w:type="dxa"/>
              <w:end w:w="80" w:type="dxa"/>
            </w:tcMar>
          </w:tcPr>
          <w:p>
            <w:pPr>
              <w:jc w:val="left"/>
            </w:pPr>
            <w:r/>
            <w:r>
              <w:rPr>
                <w:rFonts w:ascii="Calibri" w:hAnsi="Calibri"/>
                <w:color w:val="343A40"/>
                <w:sz w:val="18"/>
              </w:rPr>
              <w:t>Error / Danger</w:t>
            </w:r>
          </w:p>
        </w:tc>
        <w:tc>
          <w:tcPr>
            <w:tcW w:type="dxa" w:w="2160"/>
            <w:vAlign w:val="center"/>
            <w:tcMar>
              <w:top w:w="60" w:type="dxa"/>
              <w:bottom w:w="60" w:type="dxa"/>
              <w:start w:w="80" w:type="dxa"/>
              <w:end w:w="80" w:type="dxa"/>
            </w:tcMar>
          </w:tcPr>
          <w:p>
            <w:pPr>
              <w:jc w:val="left"/>
            </w:pPr>
            <w:r/>
            <w:r>
              <w:rPr>
                <w:rFonts w:ascii="Calibri" w:hAnsi="Calibri"/>
                <w:color w:val="343A40"/>
                <w:sz w:val="18"/>
              </w:rPr>
              <w:t>#DC2626</w:t>
            </w:r>
          </w:p>
        </w:tc>
        <w:tc>
          <w:tcPr>
            <w:tcW w:type="dxa" w:w="6480"/>
            <w:vAlign w:val="center"/>
            <w:tcMar>
              <w:top w:w="60" w:type="dxa"/>
              <w:bottom w:w="60" w:type="dxa"/>
              <w:start w:w="80" w:type="dxa"/>
              <w:end w:w="80" w:type="dxa"/>
            </w:tcMar>
          </w:tcPr>
          <w:p>
            <w:pPr>
              <w:jc w:val="left"/>
            </w:pPr>
            <w:r/>
            <w:r>
              <w:rPr>
                <w:rFonts w:ascii="Calibri" w:hAnsi="Calibri"/>
                <w:color w:val="343A40"/>
                <w:sz w:val="18"/>
              </w:rPr>
              <w:t>Form validation errors, destructive actions.</w:t>
            </w:r>
          </w:p>
        </w:tc>
      </w:tr>
      <w:tr>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Info</w:t>
            </w:r>
          </w:p>
        </w:tc>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#2563EB</w:t>
            </w:r>
          </w:p>
        </w:tc>
        <w:tc>
          <w:tcPr>
            <w:tcW w:type="dxa" w:w="6480"/>
            <w:vAlign w:val="center"/>
            <w:tcMar>
              <w:top w:w="60" w:type="dxa"/>
              <w:bottom w:w="60" w:type="dxa"/>
              <w:start w:w="80" w:type="dxa"/>
              <w:end w:w="80" w:type="dxa"/>
            </w:tcMar>
            <w:shd w:fill="F8F9FA" w:val="clear"/>
          </w:tcPr>
          <w:p>
            <w:pPr>
              <w:jc w:val="left"/>
            </w:pPr>
            <w:r/>
            <w:r>
              <w:rPr>
                <w:rFonts w:ascii="Calibri" w:hAnsi="Calibri"/>
                <w:color w:val="343A40"/>
                <w:sz w:val="18"/>
              </w:rPr>
              <w:t>Informational callouts, secondary links.</w:t>
            </w:r>
          </w:p>
        </w:tc>
      </w:tr>
    </w:tbl>
    <w:p>
      <w:pPr>
        <w:spacing w:after="80"/>
      </w:pPr>
    </w:p>
    <w:p>
      <w:pPr>
        <w:spacing w:before="200" w:after="40"/>
        <w:pBdr>
          <w:left w:val="single" w:sz="24" w:space="8" w:color="F57C00"/>
        </w:pBdr>
        <w:shd w:val="clear" w:color="auto" w:fill="FFF8E1"/>
        <w:ind w:left="360" w:right="360"/>
      </w:pPr>
      <w:r>
        <w:rPr>
          <w:rFonts w:ascii="Calibri" w:hAnsi="Calibri"/>
          <w:b/>
          <w:color w:val="E65100"/>
          <w:sz w:val="21"/>
        </w:rPr>
        <w:t>⚠️  COLOR ACCESSIBILITY</w:t>
      </w:r>
    </w:p>
    <w:p>
      <w:pPr>
        <w:spacing w:before="20" w:after="160"/>
        <w:pBdr>
          <w:left w:val="single" w:sz="24" w:space="8" w:color="F57C00"/>
        </w:pBdr>
        <w:shd w:val="clear" w:color="auto" w:fill="FFF8E1"/>
        <w:ind w:left="360" w:right="360"/>
      </w:pPr>
      <w:r>
        <w:rPr>
          <w:rFonts w:ascii="Calibri" w:hAnsi="Calibri"/>
          <w:color w:val="343A40"/>
          <w:sz w:val="20"/>
        </w:rPr>
        <w:t>All text-to-background color combinations must meet WCAG 2.1 AA standards (minimum contrast ratio of 4.5:1 for normal text and 3.0:1 for large text).</w:t>
      </w:r>
    </w:p>
    <w:p>
      <w:r>
        <w:br w:type="page"/>
      </w:r>
    </w:p>
    <w:p>
      <w:pPr>
        <w:pStyle w:val="Heading1"/>
      </w:pPr>
      <w:r>
        <w:t>Animation &amp; Motion Guidelines</w:t>
      </w:r>
    </w:p>
    <w:p>
      <w:r>
        <w:rPr>
          <w:rFonts w:ascii="Calibri" w:hAnsi="Calibri"/>
          <w:b w:val="0"/>
          <w:i w:val="0"/>
          <w:color w:val="343A40"/>
          <w:sz w:val="21"/>
        </w:rPr>
        <w:t>Motion should be virtually invisible. It exists to provide spatial context, confirm user actions, and ease cognitive load during state changes. It must never be distracting.</w:t>
      </w:r>
    </w:p>
    <w:p>
      <w:pPr>
        <w:pStyle w:val="Heading3"/>
      </w:pPr>
      <w:r>
        <w:t>Animation Principles</w:t>
      </w:r>
    </w:p>
    <w:p>
      <w:pPr>
        <w:pStyle w:val="ListBullet"/>
        <w:spacing w:before="40" w:after="60"/>
      </w:pPr>
      <w:r>
        <w:rPr>
          <w:rFonts w:ascii="Calibri" w:hAnsi="Calibri"/>
          <w:color w:val="343A40"/>
          <w:sz w:val="21"/>
        </w:rPr>
        <w:t>Subtle &amp; Purposeful: No bouncing, shaking, or aggressive elastic effects.</w:t>
      </w:r>
    </w:p>
    <w:p>
      <w:pPr>
        <w:pStyle w:val="ListBullet"/>
        <w:spacing w:before="40" w:after="60"/>
      </w:pPr>
      <w:r>
        <w:rPr>
          <w:rFonts w:ascii="Calibri" w:hAnsi="Calibri"/>
          <w:color w:val="343A40"/>
          <w:sz w:val="21"/>
        </w:rPr>
        <w:t>Swift: UI animations should feel snappy. Slow animations make the platform feel sluggish.</w:t>
      </w:r>
    </w:p>
    <w:p>
      <w:pPr>
        <w:pStyle w:val="ListBullet"/>
        <w:spacing w:before="40" w:after="60"/>
      </w:pPr>
      <w:r>
        <w:rPr>
          <w:rFonts w:ascii="Calibri" w:hAnsi="Calibri"/>
          <w:color w:val="343A40"/>
          <w:sz w:val="21"/>
        </w:rPr>
        <w:t>Easing: Always use ease-out for elements entering the screen, and ease-in for elements exiting.</w:t>
      </w:r>
    </w:p>
    <w:p>
      <w:pPr>
        <w:pStyle w:val="ListBullet"/>
        <w:spacing w:before="40" w:after="60"/>
      </w:pPr>
      <w:r>
        <w:rPr>
          <w:rFonts w:ascii="Calibri" w:hAnsi="Calibri"/>
          <w:color w:val="343A40"/>
          <w:sz w:val="21"/>
        </w:rPr>
        <w:t>Accessibility: Respect 'prefers-reduced-motion' media queries at the CSS level by disabling all non-essential motion.</w:t>
      </w:r>
    </w:p>
    <w:p>
      <w:pPr>
        <w:pStyle w:val="Heading3"/>
      </w:pPr>
      <w:r>
        <w:t>Timing &amp; Easing Specifications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85"/>
        <w:gridCol w:w="2185"/>
        <w:gridCol w:w="2185"/>
        <w:gridCol w:w="2185"/>
      </w:tblGrid>
      <w:tr>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Category</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Duration</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Easing Curve</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Application</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t>Micro-interactions</w:t>
            </w:r>
          </w:p>
        </w:tc>
        <w:tc>
          <w:tcPr>
            <w:tcW w:type="dxa" w:w="2185"/>
            <w:vAlign w:val="center"/>
            <w:tcMar>
              <w:top w:w="60" w:type="dxa"/>
              <w:bottom w:w="60" w:type="dxa"/>
              <w:start w:w="80" w:type="dxa"/>
              <w:end w:w="80" w:type="dxa"/>
            </w:tcMar>
          </w:tcPr>
          <w:p>
            <w:pPr>
              <w:jc w:val="left"/>
            </w:pPr>
            <w:r/>
            <w:r>
              <w:rPr>
                <w:rFonts w:ascii="Calibri" w:hAnsi="Calibri"/>
                <w:color w:val="343A40"/>
                <w:sz w:val="18"/>
              </w:rPr>
              <w:t>150ms</w:t>
            </w:r>
          </w:p>
        </w:tc>
        <w:tc>
          <w:tcPr>
            <w:tcW w:type="dxa" w:w="2185"/>
            <w:vAlign w:val="center"/>
            <w:tcMar>
              <w:top w:w="60" w:type="dxa"/>
              <w:bottom w:w="60" w:type="dxa"/>
              <w:start w:w="80" w:type="dxa"/>
              <w:end w:w="80" w:type="dxa"/>
            </w:tcMar>
          </w:tcPr>
          <w:p>
            <w:pPr>
              <w:jc w:val="left"/>
            </w:pPr>
            <w:r/>
            <w:r>
              <w:rPr>
                <w:rFonts w:ascii="Calibri" w:hAnsi="Calibri"/>
                <w:color w:val="343A40"/>
                <w:sz w:val="18"/>
              </w:rPr>
              <w:t>ease-in-out</w:t>
            </w:r>
          </w:p>
        </w:tc>
        <w:tc>
          <w:tcPr>
            <w:tcW w:type="dxa" w:w="2185"/>
            <w:vAlign w:val="center"/>
            <w:tcMar>
              <w:top w:w="60" w:type="dxa"/>
              <w:bottom w:w="60" w:type="dxa"/>
              <w:start w:w="80" w:type="dxa"/>
              <w:end w:w="80" w:type="dxa"/>
            </w:tcMar>
          </w:tcPr>
          <w:p>
            <w:pPr>
              <w:jc w:val="left"/>
            </w:pPr>
            <w:r/>
            <w:r>
              <w:rPr>
                <w:rFonts w:ascii="Calibri" w:hAnsi="Calibri"/>
                <w:color w:val="343A40"/>
                <w:sz w:val="18"/>
              </w:rPr>
              <w:t>Button hovers, link color changes, checkbox toggles.</w:t>
            </w:r>
          </w:p>
        </w:tc>
      </w:tr>
      <w:tr>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Standard Transitions</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300ms</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cubic-bezier(0.4, 0, 0.2, 1)</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Card expansions, modal fades, dropdown reveals.</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t>Emphasis / Entrance</w:t>
            </w:r>
          </w:p>
        </w:tc>
        <w:tc>
          <w:tcPr>
            <w:tcW w:type="dxa" w:w="2185"/>
            <w:vAlign w:val="center"/>
            <w:tcMar>
              <w:top w:w="60" w:type="dxa"/>
              <w:bottom w:w="60" w:type="dxa"/>
              <w:start w:w="80" w:type="dxa"/>
              <w:end w:w="80" w:type="dxa"/>
            </w:tcMar>
          </w:tcPr>
          <w:p>
            <w:pPr>
              <w:jc w:val="left"/>
            </w:pPr>
            <w:r/>
            <w:r>
              <w:rPr>
                <w:rFonts w:ascii="Calibri" w:hAnsi="Calibri"/>
                <w:color w:val="343A40"/>
                <w:sz w:val="18"/>
              </w:rPr>
              <w:t>500ms</w:t>
            </w:r>
          </w:p>
        </w:tc>
        <w:tc>
          <w:tcPr>
            <w:tcW w:type="dxa" w:w="2185"/>
            <w:vAlign w:val="center"/>
            <w:tcMar>
              <w:top w:w="60" w:type="dxa"/>
              <w:bottom w:w="60" w:type="dxa"/>
              <w:start w:w="80" w:type="dxa"/>
              <w:end w:w="80" w:type="dxa"/>
            </w:tcMar>
          </w:tcPr>
          <w:p>
            <w:pPr>
              <w:jc w:val="left"/>
            </w:pPr>
            <w:r/>
            <w:r>
              <w:rPr>
                <w:rFonts w:ascii="Calibri" w:hAnsi="Calibri"/>
                <w:color w:val="343A40"/>
                <w:sz w:val="18"/>
              </w:rPr>
              <w:t>cubic-bezier(0.0, 0, 0.2, 1)</w:t>
            </w:r>
          </w:p>
        </w:tc>
        <w:tc>
          <w:tcPr>
            <w:tcW w:type="dxa" w:w="2185"/>
            <w:vAlign w:val="center"/>
            <w:tcMar>
              <w:top w:w="60" w:type="dxa"/>
              <w:bottom w:w="60" w:type="dxa"/>
              <w:start w:w="80" w:type="dxa"/>
              <w:end w:w="80" w:type="dxa"/>
            </w:tcMar>
          </w:tcPr>
          <w:p>
            <w:pPr>
              <w:jc w:val="left"/>
            </w:pPr>
            <w:r/>
            <w:r>
              <w:rPr>
                <w:rFonts w:ascii="Calibri" w:hAnsi="Calibri"/>
                <w:color w:val="343A40"/>
                <w:sz w:val="18"/>
              </w:rPr>
              <w:t>Page load reveals, scroll-triggered fade-ups (max 20px translation).</w:t>
            </w:r>
          </w:p>
        </w:tc>
      </w:tr>
    </w:tbl>
    <w:p>
      <w:pPr>
        <w:spacing w:after="80"/>
      </w:pPr>
    </w:p>
    <w:p>
      <w:pPr>
        <w:spacing w:before="200" w:after="40"/>
        <w:pBdr>
          <w:left w:val="single" w:sz="24" w:space="8" w:color="E65100"/>
        </w:pBdr>
        <w:shd w:val="clear" w:color="auto" w:fill="FFF3E0"/>
        <w:ind w:left="360" w:right="360"/>
      </w:pPr>
      <w:r>
        <w:rPr>
          <w:rFonts w:ascii="Calibri" w:hAnsi="Calibri"/>
          <w:b/>
          <w:color w:val="BF360C"/>
          <w:sz w:val="21"/>
        </w:rPr>
        <w:t>❗  PROHIBITED MOTION</w:t>
      </w:r>
    </w:p>
    <w:p>
      <w:pPr>
        <w:spacing w:before="20" w:after="40"/>
        <w:pBdr>
          <w:left w:val="single" w:sz="24" w:space="8" w:color="E65100"/>
        </w:pBdr>
        <w:shd w:val="clear" w:color="auto" w:fill="FFF3E0"/>
        <w:ind w:left="360" w:right="360"/>
      </w:pPr>
      <w:r>
        <w:rPr>
          <w:rFonts w:ascii="Calibri" w:hAnsi="Calibri"/>
          <w:color w:val="343A40"/>
          <w:sz w:val="20"/>
        </w:rPr>
        <w:t>•  Carousels or sliders that auto-play without user interaction.</w:t>
      </w:r>
    </w:p>
    <w:p>
      <w:pPr>
        <w:spacing w:before="20" w:after="40"/>
        <w:pBdr>
          <w:left w:val="single" w:sz="24" w:space="8" w:color="E65100"/>
        </w:pBdr>
        <w:shd w:val="clear" w:color="auto" w:fill="FFF3E0"/>
        <w:ind w:left="360" w:right="360"/>
      </w:pPr>
      <w:r>
        <w:rPr>
          <w:rFonts w:ascii="Calibri" w:hAnsi="Calibri"/>
          <w:color w:val="343A40"/>
          <w:sz w:val="20"/>
        </w:rPr>
        <w:t>•  Elements that continuously pulse or blink to draw attention.</w:t>
      </w:r>
    </w:p>
    <w:p>
      <w:pPr>
        <w:spacing w:before="20" w:after="160"/>
        <w:pBdr>
          <w:left w:val="single" w:sz="24" w:space="8" w:color="E65100"/>
        </w:pBdr>
        <w:shd w:val="clear" w:color="auto" w:fill="FFF3E0"/>
        <w:ind w:left="360" w:right="360"/>
      </w:pPr>
      <w:r>
        <w:rPr>
          <w:rFonts w:ascii="Calibri" w:hAnsi="Calibri"/>
          <w:color w:val="343A40"/>
          <w:sz w:val="20"/>
        </w:rPr>
        <w:t>•  Parallax effects that cause text to move at different speeds than backgrounds (disorienting for reading).</w:t>
      </w:r>
    </w:p>
    <w:p>
      <w:r>
        <w:br w:type="page"/>
      </w:r>
    </w:p>
    <w:p>
      <w:pPr>
        <w:pStyle w:val="Heading1"/>
      </w:pPr>
      <w:r>
        <w:t>Card Component System</w:t>
      </w:r>
    </w:p>
    <w:p>
      <w:r>
        <w:rPr>
          <w:rFonts w:ascii="Calibri" w:hAnsi="Calibri"/>
          <w:b w:val="0"/>
          <w:i w:val="0"/>
          <w:color w:val="343A40"/>
          <w:sz w:val="21"/>
        </w:rPr>
        <w:t>Cards are the primary container for discrete chunks of information. They must maintain consistent padding, border-radius, and hover behaviors across the platform.</w:t>
      </w:r>
    </w:p>
    <w:p>
      <w:pPr>
        <w:pStyle w:val="Heading3"/>
      </w:pPr>
      <w:r>
        <w:t>General Card Specifications</w:t>
      </w:r>
    </w:p>
    <w:p>
      <w:pPr>
        <w:pStyle w:val="ListBullet"/>
        <w:spacing w:before="40" w:after="60"/>
      </w:pPr>
      <w:r>
        <w:rPr>
          <w:rFonts w:ascii="Calibri" w:hAnsi="Calibri"/>
          <w:color w:val="343A40"/>
          <w:sz w:val="21"/>
        </w:rPr>
        <w:t>Background: White (#FFFFFF) or Gray 50 (#F8F9FA).</w:t>
      </w:r>
    </w:p>
    <w:p>
      <w:pPr>
        <w:pStyle w:val="ListBullet"/>
        <w:spacing w:before="40" w:after="60"/>
      </w:pPr>
      <w:r>
        <w:rPr>
          <w:rFonts w:ascii="Calibri" w:hAnsi="Calibri"/>
          <w:color w:val="343A40"/>
          <w:sz w:val="21"/>
        </w:rPr>
        <w:t>Border Radius: 8px (subtle, professional corner rounding).</w:t>
      </w:r>
    </w:p>
    <w:p>
      <w:pPr>
        <w:pStyle w:val="ListBullet"/>
        <w:spacing w:before="40" w:after="60"/>
      </w:pPr>
      <w:r>
        <w:rPr>
          <w:rFonts w:ascii="Calibri" w:hAnsi="Calibri"/>
          <w:color w:val="343A40"/>
          <w:sz w:val="21"/>
        </w:rPr>
        <w:t>Border: 1px solid Gray 200, OR a very subtle shadow (e.g., 0 4px 6px -1px rgba(0,0,0,0.05)).</w:t>
      </w:r>
    </w:p>
    <w:p>
      <w:pPr>
        <w:pStyle w:val="ListBullet"/>
        <w:spacing w:before="40" w:after="60"/>
      </w:pPr>
      <w:r>
        <w:rPr>
          <w:rFonts w:ascii="Calibri" w:hAnsi="Calibri"/>
          <w:color w:val="343A40"/>
          <w:sz w:val="21"/>
        </w:rPr>
        <w:t>Internal Padding: Minimum 24px (32px preferred on desktop).</w:t>
      </w:r>
    </w:p>
    <w:p>
      <w:pPr>
        <w:pStyle w:val="ListBullet"/>
        <w:spacing w:before="40" w:after="60"/>
      </w:pPr>
      <w:r>
        <w:rPr>
          <w:rFonts w:ascii="Calibri" w:hAnsi="Calibri"/>
          <w:color w:val="343A40"/>
          <w:sz w:val="21"/>
        </w:rPr>
        <w:t>Hover State: Slight elevation (shadow increase) and/or a subtle -2px Y-axis translation. The border may shift to Brand Navy.</w:t>
      </w:r>
    </w:p>
    <w:p>
      <w:pPr>
        <w:pStyle w:val="Heading3"/>
      </w:pPr>
      <w:r>
        <w:t>Card Types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14"/>
        <w:gridCol w:w="2914"/>
        <w:gridCol w:w="2914"/>
      </w:tblGrid>
      <w:tr>
        <w:tc>
          <w:tcPr>
            <w:tcW w:type="dxa" w:w="2160"/>
            <w:shd w:fill="1B2A4A" w:val="clear"/>
            <w:vAlign w:val="center"/>
            <w:tcMar>
              <w:top w:w="60" w:type="dxa"/>
              <w:bottom w:w="60" w:type="dxa"/>
              <w:start w:w="80" w:type="dxa"/>
              <w:end w:w="80" w:type="dxa"/>
            </w:tcMar>
          </w:tcPr>
          <w:p>
            <w:pPr>
              <w:jc w:val="left"/>
            </w:pPr>
            <w:r/>
            <w:r>
              <w:rPr>
                <w:rFonts w:ascii="Calibri" w:hAnsi="Calibri"/>
                <w:b/>
                <w:color w:val="FFFFFF"/>
                <w:sz w:val="19"/>
              </w:rPr>
              <w:t>Card Type</w:t>
            </w:r>
          </w:p>
        </w:tc>
        <w:tc>
          <w:tcPr>
            <w:tcW w:type="dxa" w:w="5040"/>
            <w:shd w:fill="1B2A4A" w:val="clear"/>
            <w:vAlign w:val="center"/>
            <w:tcMar>
              <w:top w:w="60" w:type="dxa"/>
              <w:bottom w:w="60" w:type="dxa"/>
              <w:start w:w="80" w:type="dxa"/>
              <w:end w:w="80" w:type="dxa"/>
            </w:tcMar>
          </w:tcPr>
          <w:p>
            <w:pPr>
              <w:jc w:val="left"/>
            </w:pPr>
            <w:r/>
            <w:r>
              <w:rPr>
                <w:rFonts w:ascii="Calibri" w:hAnsi="Calibri"/>
                <w:b/>
                <w:color w:val="FFFFFF"/>
                <w:sz w:val="19"/>
              </w:rPr>
              <w:t>Structural Elements</w:t>
            </w:r>
          </w:p>
        </w:tc>
        <w:tc>
          <w:tcPr>
            <w:tcW w:type="dxa" w:w="3600"/>
            <w:shd w:fill="1B2A4A" w:val="clear"/>
            <w:vAlign w:val="center"/>
            <w:tcMar>
              <w:top w:w="60" w:type="dxa"/>
              <w:bottom w:w="60" w:type="dxa"/>
              <w:start w:w="80" w:type="dxa"/>
              <w:end w:w="80" w:type="dxa"/>
            </w:tcMar>
          </w:tcPr>
          <w:p>
            <w:pPr>
              <w:jc w:val="left"/>
            </w:pPr>
            <w:r/>
            <w:r>
              <w:rPr>
                <w:rFonts w:ascii="Calibri" w:hAnsi="Calibri"/>
                <w:b/>
                <w:color w:val="FFFFFF"/>
                <w:sz w:val="19"/>
              </w:rPr>
              <w:t>Specific Usage</w:t>
            </w:r>
          </w:p>
        </w:tc>
      </w:tr>
      <w:tr>
        <w:tc>
          <w:tcPr>
            <w:tcW w:type="dxa" w:w="2160"/>
            <w:vAlign w:val="center"/>
            <w:tcMar>
              <w:top w:w="60" w:type="dxa"/>
              <w:bottom w:w="60" w:type="dxa"/>
              <w:start w:w="80" w:type="dxa"/>
              <w:end w:w="80" w:type="dxa"/>
            </w:tcMar>
          </w:tcPr>
          <w:p>
            <w:pPr>
              <w:jc w:val="left"/>
            </w:pPr>
            <w:r/>
            <w:r>
              <w:rPr>
                <w:rFonts w:ascii="Calibri" w:hAnsi="Calibri"/>
                <w:color w:val="343A40"/>
                <w:sz w:val="18"/>
              </w:rPr>
              <w:t>Insight Card</w:t>
            </w:r>
          </w:p>
        </w:tc>
        <w:tc>
          <w:tcPr>
            <w:tcW w:type="dxa" w:w="5040"/>
            <w:vAlign w:val="center"/>
            <w:tcMar>
              <w:top w:w="60" w:type="dxa"/>
              <w:bottom w:w="60" w:type="dxa"/>
              <w:start w:w="80" w:type="dxa"/>
              <w:end w:w="80" w:type="dxa"/>
            </w:tcMar>
          </w:tcPr>
          <w:p>
            <w:pPr>
              <w:jc w:val="left"/>
            </w:pPr>
            <w:r/>
            <w:r>
              <w:rPr>
                <w:rFonts w:ascii="Calibri" w:hAnsi="Calibri"/>
                <w:color w:val="343A40"/>
                <w:sz w:val="18"/>
              </w:rPr>
              <w:t>Image (16:9), Overline Tag, H4 Title, 2-line Excerpt, Metadata (Date/Read Time).</w:t>
            </w:r>
          </w:p>
        </w:tc>
        <w:tc>
          <w:tcPr>
            <w:tcW w:type="dxa" w:w="3600"/>
            <w:vAlign w:val="center"/>
            <w:tcMar>
              <w:top w:w="60" w:type="dxa"/>
              <w:bottom w:w="60" w:type="dxa"/>
              <w:start w:w="80" w:type="dxa"/>
              <w:end w:w="80" w:type="dxa"/>
            </w:tcMar>
          </w:tcPr>
          <w:p>
            <w:pPr>
              <w:jc w:val="left"/>
            </w:pPr>
            <w:r/>
            <w:r>
              <w:rPr>
                <w:rFonts w:ascii="Calibri" w:hAnsi="Calibri"/>
                <w:color w:val="343A40"/>
                <w:sz w:val="18"/>
              </w:rPr>
              <w:t>Research &amp; Insights listing page. Clickable entire surface.</w:t>
            </w:r>
          </w:p>
        </w:tc>
      </w:tr>
      <w:tr>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Service Card</w:t>
            </w:r>
          </w:p>
        </w:tc>
        <w:tc>
          <w:tcPr>
            <w:tcW w:type="dxa" w:w="5040"/>
            <w:vAlign w:val="center"/>
            <w:tcMar>
              <w:top w:w="60" w:type="dxa"/>
              <w:bottom w:w="60" w:type="dxa"/>
              <w:start w:w="80" w:type="dxa"/>
              <w:end w:w="80" w:type="dxa"/>
            </w:tcMar>
            <w:shd w:fill="F8F9FA" w:val="clear"/>
          </w:tcPr>
          <w:p>
            <w:pPr>
              <w:jc w:val="left"/>
            </w:pPr>
            <w:r/>
            <w:r>
              <w:rPr>
                <w:rFonts w:ascii="Calibri" w:hAnsi="Calibri"/>
                <w:color w:val="343A40"/>
                <w:sz w:val="18"/>
              </w:rPr>
              <w:t>Minimal line Icon (top left), H3 Title, Paragraph Description, 'Learn More →' text link.</w:t>
            </w:r>
          </w:p>
        </w:tc>
        <w:tc>
          <w:tcPr>
            <w:tcW w:type="dxa" w:w="3600"/>
            <w:vAlign w:val="center"/>
            <w:tcMar>
              <w:top w:w="60" w:type="dxa"/>
              <w:bottom w:w="60" w:type="dxa"/>
              <w:start w:w="80" w:type="dxa"/>
              <w:end w:w="80" w:type="dxa"/>
            </w:tcMar>
            <w:shd w:fill="F8F9FA" w:val="clear"/>
          </w:tcPr>
          <w:p>
            <w:pPr>
              <w:jc w:val="left"/>
            </w:pPr>
            <w:r/>
            <w:r>
              <w:rPr>
                <w:rFonts w:ascii="Calibri" w:hAnsi="Calibri"/>
                <w:color w:val="343A40"/>
                <w:sz w:val="18"/>
              </w:rPr>
              <w:t>Wealth Solutions page to delineate specific offerings.</w:t>
            </w:r>
          </w:p>
        </w:tc>
      </w:tr>
      <w:tr>
        <w:tc>
          <w:tcPr>
            <w:tcW w:type="dxa" w:w="2160"/>
            <w:vAlign w:val="center"/>
            <w:tcMar>
              <w:top w:w="60" w:type="dxa"/>
              <w:bottom w:w="60" w:type="dxa"/>
              <w:start w:w="80" w:type="dxa"/>
              <w:end w:w="80" w:type="dxa"/>
            </w:tcMar>
          </w:tcPr>
          <w:p>
            <w:pPr>
              <w:jc w:val="left"/>
            </w:pPr>
            <w:r/>
            <w:r>
              <w:rPr>
                <w:rFonts w:ascii="Calibri" w:hAnsi="Calibri"/>
                <w:color w:val="343A40"/>
                <w:sz w:val="18"/>
              </w:rPr>
              <w:t>Stat Card</w:t>
            </w:r>
          </w:p>
        </w:tc>
        <w:tc>
          <w:tcPr>
            <w:tcW w:type="dxa" w:w="5040"/>
            <w:vAlign w:val="center"/>
            <w:tcMar>
              <w:top w:w="60" w:type="dxa"/>
              <w:bottom w:w="60" w:type="dxa"/>
              <w:start w:w="80" w:type="dxa"/>
              <w:end w:w="80" w:type="dxa"/>
            </w:tcMar>
          </w:tcPr>
          <w:p>
            <w:pPr>
              <w:jc w:val="left"/>
            </w:pPr>
            <w:r/>
            <w:r>
              <w:rPr>
                <w:rFonts w:ascii="Calibri" w:hAnsi="Calibri"/>
                <w:color w:val="343A40"/>
                <w:sz w:val="18"/>
              </w:rPr>
              <w:t>H2 (large number), Caption/Label text.</w:t>
            </w:r>
          </w:p>
        </w:tc>
        <w:tc>
          <w:tcPr>
            <w:tcW w:type="dxa" w:w="3600"/>
            <w:vAlign w:val="center"/>
            <w:tcMar>
              <w:top w:w="60" w:type="dxa"/>
              <w:bottom w:w="60" w:type="dxa"/>
              <w:start w:w="80" w:type="dxa"/>
              <w:end w:w="80" w:type="dxa"/>
            </w:tcMar>
          </w:tcPr>
          <w:p>
            <w:pPr>
              <w:jc w:val="left"/>
            </w:pPr>
            <w:r/>
            <w:r>
              <w:rPr>
                <w:rFonts w:ascii="Calibri" w:hAnsi="Calibri"/>
                <w:color w:val="343A40"/>
                <w:sz w:val="18"/>
              </w:rPr>
              <w:t>Highlighting AUM, client count, or performance metrics. Often borderless with just background.</w:t>
            </w:r>
          </w:p>
        </w:tc>
      </w:tr>
      <w:tr>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Team Card</w:t>
            </w:r>
          </w:p>
        </w:tc>
        <w:tc>
          <w:tcPr>
            <w:tcW w:type="dxa" w:w="5040"/>
            <w:vAlign w:val="center"/>
            <w:tcMar>
              <w:top w:w="60" w:type="dxa"/>
              <w:bottom w:w="60" w:type="dxa"/>
              <w:start w:w="80" w:type="dxa"/>
              <w:end w:w="80" w:type="dxa"/>
            </w:tcMar>
            <w:shd w:fill="F8F9FA" w:val="clear"/>
          </w:tcPr>
          <w:p>
            <w:pPr>
              <w:jc w:val="left"/>
            </w:pPr>
            <w:r/>
            <w:r>
              <w:rPr>
                <w:rFonts w:ascii="Calibri" w:hAnsi="Calibri"/>
                <w:color w:val="343A40"/>
                <w:sz w:val="18"/>
              </w:rPr>
              <w:t>Portrait Image (1:1 or 3:4), H4 Name, Caption Role, LinkedIn Icon.</w:t>
            </w:r>
          </w:p>
        </w:tc>
        <w:tc>
          <w:tcPr>
            <w:tcW w:type="dxa" w:w="3600"/>
            <w:vAlign w:val="center"/>
            <w:tcMar>
              <w:top w:w="60" w:type="dxa"/>
              <w:bottom w:w="60" w:type="dxa"/>
              <w:start w:w="80" w:type="dxa"/>
              <w:end w:w="80" w:type="dxa"/>
            </w:tcMar>
            <w:shd w:fill="F8F9FA" w:val="clear"/>
          </w:tcPr>
          <w:p>
            <w:pPr>
              <w:jc w:val="left"/>
            </w:pPr>
            <w:r/>
            <w:r>
              <w:rPr>
                <w:rFonts w:ascii="Calibri" w:hAnsi="Calibri"/>
                <w:color w:val="343A40"/>
                <w:sz w:val="18"/>
              </w:rPr>
              <w:t>About Us page. Clean, professional headshot styling.</w:t>
            </w:r>
          </w:p>
        </w:tc>
      </w:tr>
      <w:tr>
        <w:tc>
          <w:tcPr>
            <w:tcW w:type="dxa" w:w="2160"/>
            <w:vAlign w:val="center"/>
            <w:tcMar>
              <w:top w:w="60" w:type="dxa"/>
              <w:bottom w:w="60" w:type="dxa"/>
              <w:start w:w="80" w:type="dxa"/>
              <w:end w:w="80" w:type="dxa"/>
            </w:tcMar>
          </w:tcPr>
          <w:p>
            <w:pPr>
              <w:jc w:val="left"/>
            </w:pPr>
            <w:r/>
            <w:r>
              <w:rPr>
                <w:rFonts w:ascii="Calibri" w:hAnsi="Calibri"/>
                <w:color w:val="343A40"/>
                <w:sz w:val="18"/>
              </w:rPr>
              <w:t>Testimonial Card</w:t>
            </w:r>
          </w:p>
        </w:tc>
        <w:tc>
          <w:tcPr>
            <w:tcW w:type="dxa" w:w="5040"/>
            <w:vAlign w:val="center"/>
            <w:tcMar>
              <w:top w:w="60" w:type="dxa"/>
              <w:bottom w:w="60" w:type="dxa"/>
              <w:start w:w="80" w:type="dxa"/>
              <w:end w:w="80" w:type="dxa"/>
            </w:tcMar>
          </w:tcPr>
          <w:p>
            <w:pPr>
              <w:jc w:val="left"/>
            </w:pPr>
            <w:r/>
            <w:r>
              <w:rPr>
                <w:rFonts w:ascii="Calibri" w:hAnsi="Calibri"/>
                <w:color w:val="343A40"/>
                <w:sz w:val="18"/>
              </w:rPr>
              <w:t>Quote icon, Italic Body text, H4 Name, Caption Designation.</w:t>
            </w:r>
          </w:p>
        </w:tc>
        <w:tc>
          <w:tcPr>
            <w:tcW w:type="dxa" w:w="3600"/>
            <w:vAlign w:val="center"/>
            <w:tcMar>
              <w:top w:w="60" w:type="dxa"/>
              <w:bottom w:w="60" w:type="dxa"/>
              <w:start w:w="80" w:type="dxa"/>
              <w:end w:w="80" w:type="dxa"/>
            </w:tcMar>
          </w:tcPr>
          <w:p>
            <w:pPr>
              <w:jc w:val="left"/>
            </w:pPr>
            <w:r/>
            <w:r>
              <w:rPr>
                <w:rFonts w:ascii="Calibri" w:hAnsi="Calibri"/>
                <w:color w:val="343A40"/>
                <w:sz w:val="18"/>
              </w:rPr>
              <w:t>Homepage or service pages to build social proof.</w:t>
            </w:r>
          </w:p>
        </w:tc>
      </w:tr>
    </w:tbl>
    <w:p>
      <w:pPr>
        <w:spacing w:after="80"/>
      </w:pPr>
    </w:p>
    <w:p>
      <w:r>
        <w:br w:type="page"/>
      </w:r>
    </w:p>
    <w:p>
      <w:pPr>
        <w:pStyle w:val="Heading1"/>
      </w:pPr>
      <w:r>
        <w:t>Button System</w:t>
      </w:r>
    </w:p>
    <w:p>
      <w:r>
        <w:rPr>
          <w:rFonts w:ascii="Calibri" w:hAnsi="Calibri"/>
          <w:b w:val="0"/>
          <w:i w:val="0"/>
          <w:color w:val="343A40"/>
          <w:sz w:val="21"/>
        </w:rPr>
        <w:t>Buttons are the primary method of interaction. Their hierarchy must be instantly recognizable.</w:t>
      </w:r>
    </w:p>
    <w:p>
      <w:pPr>
        <w:pStyle w:val="Heading3"/>
      </w:pPr>
      <w:r>
        <w:t>Button Styles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14"/>
        <w:gridCol w:w="2914"/>
        <w:gridCol w:w="2914"/>
      </w:tblGrid>
      <w:tr>
        <w:tc>
          <w:tcPr>
            <w:tcW w:type="dxa" w:w="2914"/>
            <w:shd w:fill="1B2A4A" w:val="clear"/>
            <w:vAlign w:val="center"/>
            <w:tcMar>
              <w:top w:w="60" w:type="dxa"/>
              <w:bottom w:w="60" w:type="dxa"/>
              <w:start w:w="80" w:type="dxa"/>
              <w:end w:w="80" w:type="dxa"/>
            </w:tcMar>
          </w:tcPr>
          <w:p>
            <w:pPr>
              <w:jc w:val="left"/>
            </w:pPr>
            <w:r/>
            <w:r>
              <w:rPr>
                <w:rFonts w:ascii="Calibri" w:hAnsi="Calibri"/>
                <w:b/>
                <w:color w:val="FFFFFF"/>
                <w:sz w:val="19"/>
              </w:rPr>
              <w:t>Button Style</w:t>
            </w:r>
          </w:p>
        </w:tc>
        <w:tc>
          <w:tcPr>
            <w:tcW w:type="dxa" w:w="2914"/>
            <w:shd w:fill="1B2A4A" w:val="clear"/>
            <w:vAlign w:val="center"/>
            <w:tcMar>
              <w:top w:w="60" w:type="dxa"/>
              <w:bottom w:w="60" w:type="dxa"/>
              <w:start w:w="80" w:type="dxa"/>
              <w:end w:w="80" w:type="dxa"/>
            </w:tcMar>
          </w:tcPr>
          <w:p>
            <w:pPr>
              <w:jc w:val="left"/>
            </w:pPr>
            <w:r/>
            <w:r>
              <w:rPr>
                <w:rFonts w:ascii="Calibri" w:hAnsi="Calibri"/>
                <w:b/>
                <w:color w:val="FFFFFF"/>
                <w:sz w:val="19"/>
              </w:rPr>
              <w:t>Visual Definition</w:t>
            </w:r>
          </w:p>
        </w:tc>
        <w:tc>
          <w:tcPr>
            <w:tcW w:type="dxa" w:w="2914"/>
            <w:shd w:fill="1B2A4A" w:val="clear"/>
            <w:vAlign w:val="center"/>
            <w:tcMar>
              <w:top w:w="60" w:type="dxa"/>
              <w:bottom w:w="60" w:type="dxa"/>
              <w:start w:w="80" w:type="dxa"/>
              <w:end w:w="80" w:type="dxa"/>
            </w:tcMar>
          </w:tcPr>
          <w:p>
            <w:pPr>
              <w:jc w:val="left"/>
            </w:pPr>
            <w:r/>
            <w:r>
              <w:rPr>
                <w:rFonts w:ascii="Calibri" w:hAnsi="Calibri"/>
                <w:b/>
                <w:color w:val="FFFFFF"/>
                <w:sz w:val="19"/>
              </w:rPr>
              <w:t>Usage Context</w:t>
            </w:r>
          </w:p>
        </w:tc>
      </w:tr>
      <w:tr>
        <w:tc>
          <w:tcPr>
            <w:tcW w:type="dxa" w:w="2914"/>
            <w:vAlign w:val="center"/>
            <w:tcMar>
              <w:top w:w="60" w:type="dxa"/>
              <w:bottom w:w="60" w:type="dxa"/>
              <w:start w:w="80" w:type="dxa"/>
              <w:end w:w="80" w:type="dxa"/>
            </w:tcMar>
          </w:tcPr>
          <w:p>
            <w:pPr>
              <w:jc w:val="left"/>
            </w:pPr>
            <w:r/>
            <w:r>
              <w:rPr>
                <w:rFonts w:ascii="Calibri" w:hAnsi="Calibri"/>
                <w:color w:val="343A40"/>
                <w:sz w:val="18"/>
              </w:rPr>
              <w:t>Primary</w:t>
            </w:r>
          </w:p>
        </w:tc>
        <w:tc>
          <w:tcPr>
            <w:tcW w:type="dxa" w:w="2914"/>
            <w:vAlign w:val="center"/>
            <w:tcMar>
              <w:top w:w="60" w:type="dxa"/>
              <w:bottom w:w="60" w:type="dxa"/>
              <w:start w:w="80" w:type="dxa"/>
              <w:end w:w="80" w:type="dxa"/>
            </w:tcMar>
          </w:tcPr>
          <w:p>
            <w:pPr>
              <w:jc w:val="left"/>
            </w:pPr>
            <w:r/>
            <w:r>
              <w:rPr>
                <w:rFonts w:ascii="Calibri" w:hAnsi="Calibri"/>
                <w:color w:val="343A40"/>
                <w:sz w:val="18"/>
              </w:rPr>
              <w:t>Solid Navy background, White text. Hover: Darker Navy.</w:t>
            </w:r>
          </w:p>
        </w:tc>
        <w:tc>
          <w:tcPr>
            <w:tcW w:type="dxa" w:w="2914"/>
            <w:vAlign w:val="center"/>
            <w:tcMar>
              <w:top w:w="60" w:type="dxa"/>
              <w:bottom w:w="60" w:type="dxa"/>
              <w:start w:w="80" w:type="dxa"/>
              <w:end w:w="80" w:type="dxa"/>
            </w:tcMar>
          </w:tcPr>
          <w:p>
            <w:pPr>
              <w:jc w:val="left"/>
            </w:pPr>
            <w:r/>
            <w:r>
              <w:rPr>
                <w:rFonts w:ascii="Calibri" w:hAnsi="Calibri"/>
                <w:color w:val="343A40"/>
                <w:sz w:val="18"/>
              </w:rPr>
              <w:t>Primary page action (e.g., 'Schedule Consultation', 'Submit Form'). Max 1 per view.</w:t>
            </w:r>
          </w:p>
        </w:tc>
      </w:tr>
      <w:tr>
        <w:tc>
          <w:tcPr>
            <w:tcW w:type="dxa" w:w="2914"/>
            <w:vAlign w:val="center"/>
            <w:tcMar>
              <w:top w:w="60" w:type="dxa"/>
              <w:bottom w:w="60" w:type="dxa"/>
              <w:start w:w="80" w:type="dxa"/>
              <w:end w:w="80" w:type="dxa"/>
            </w:tcMar>
            <w:shd w:fill="F8F9FA" w:val="clear"/>
          </w:tcPr>
          <w:p>
            <w:pPr>
              <w:jc w:val="left"/>
            </w:pPr>
            <w:r/>
            <w:r>
              <w:rPr>
                <w:rFonts w:ascii="Calibri" w:hAnsi="Calibri"/>
                <w:color w:val="343A40"/>
                <w:sz w:val="18"/>
              </w:rPr>
              <w:t>Primary (Gold)</w:t>
            </w:r>
          </w:p>
        </w:tc>
        <w:tc>
          <w:tcPr>
            <w:tcW w:type="dxa" w:w="2914"/>
            <w:vAlign w:val="center"/>
            <w:tcMar>
              <w:top w:w="60" w:type="dxa"/>
              <w:bottom w:w="60" w:type="dxa"/>
              <w:start w:w="80" w:type="dxa"/>
              <w:end w:w="80" w:type="dxa"/>
            </w:tcMar>
            <w:shd w:fill="F8F9FA" w:val="clear"/>
          </w:tcPr>
          <w:p>
            <w:pPr>
              <w:jc w:val="left"/>
            </w:pPr>
            <w:r/>
            <w:r>
              <w:rPr>
                <w:rFonts w:ascii="Calibri" w:hAnsi="Calibri"/>
                <w:color w:val="343A40"/>
                <w:sz w:val="18"/>
              </w:rPr>
              <w:t>Solid Gold background, Navy text. Hover: Lighter Gold.</w:t>
            </w:r>
          </w:p>
        </w:tc>
        <w:tc>
          <w:tcPr>
            <w:tcW w:type="dxa" w:w="2914"/>
            <w:vAlign w:val="center"/>
            <w:tcMar>
              <w:top w:w="60" w:type="dxa"/>
              <w:bottom w:w="60" w:type="dxa"/>
              <w:start w:w="80" w:type="dxa"/>
              <w:end w:w="80" w:type="dxa"/>
            </w:tcMar>
            <w:shd w:fill="F8F9FA" w:val="clear"/>
          </w:tcPr>
          <w:p>
            <w:pPr>
              <w:jc w:val="left"/>
            </w:pPr>
            <w:r/>
            <w:r>
              <w:rPr>
                <w:rFonts w:ascii="Calibri" w:hAnsi="Calibri"/>
                <w:color w:val="343A40"/>
                <w:sz w:val="18"/>
              </w:rPr>
              <w:t>High-conversion actions (e.g., 'Client Login').</w:t>
            </w:r>
          </w:p>
        </w:tc>
      </w:tr>
      <w:tr>
        <w:tc>
          <w:tcPr>
            <w:tcW w:type="dxa" w:w="2914"/>
            <w:vAlign w:val="center"/>
            <w:tcMar>
              <w:top w:w="60" w:type="dxa"/>
              <w:bottom w:w="60" w:type="dxa"/>
              <w:start w:w="80" w:type="dxa"/>
              <w:end w:w="80" w:type="dxa"/>
            </w:tcMar>
          </w:tcPr>
          <w:p>
            <w:pPr>
              <w:jc w:val="left"/>
            </w:pPr>
            <w:r/>
            <w:r>
              <w:rPr>
                <w:rFonts w:ascii="Calibri" w:hAnsi="Calibri"/>
                <w:color w:val="343A40"/>
                <w:sz w:val="18"/>
              </w:rPr>
              <w:t>Secondary</w:t>
            </w:r>
          </w:p>
        </w:tc>
        <w:tc>
          <w:tcPr>
            <w:tcW w:type="dxa" w:w="2914"/>
            <w:vAlign w:val="center"/>
            <w:tcMar>
              <w:top w:w="60" w:type="dxa"/>
              <w:bottom w:w="60" w:type="dxa"/>
              <w:start w:w="80" w:type="dxa"/>
              <w:end w:w="80" w:type="dxa"/>
            </w:tcMar>
          </w:tcPr>
          <w:p>
            <w:pPr>
              <w:jc w:val="left"/>
            </w:pPr>
            <w:r/>
            <w:r>
              <w:rPr>
                <w:rFonts w:ascii="Calibri" w:hAnsi="Calibri"/>
                <w:color w:val="343A40"/>
                <w:sz w:val="18"/>
              </w:rPr>
              <w:t>Transparent background, 1px Navy border, Navy text. Hover: Gray 50 bg.</w:t>
            </w:r>
          </w:p>
        </w:tc>
        <w:tc>
          <w:tcPr>
            <w:tcW w:type="dxa" w:w="2914"/>
            <w:vAlign w:val="center"/>
            <w:tcMar>
              <w:top w:w="60" w:type="dxa"/>
              <w:bottom w:w="60" w:type="dxa"/>
              <w:start w:w="80" w:type="dxa"/>
              <w:end w:w="80" w:type="dxa"/>
            </w:tcMar>
          </w:tcPr>
          <w:p>
            <w:pPr>
              <w:jc w:val="left"/>
            </w:pPr>
            <w:r/>
            <w:r>
              <w:rPr>
                <w:rFonts w:ascii="Calibri" w:hAnsi="Calibri"/>
                <w:color w:val="343A40"/>
                <w:sz w:val="18"/>
              </w:rPr>
              <w:t>Alternative actions (e.g., 'Learn More', 'Cancel').</w:t>
            </w:r>
          </w:p>
        </w:tc>
      </w:tr>
      <w:tr>
        <w:tc>
          <w:tcPr>
            <w:tcW w:type="dxa" w:w="2914"/>
            <w:vAlign w:val="center"/>
            <w:tcMar>
              <w:top w:w="60" w:type="dxa"/>
              <w:bottom w:w="60" w:type="dxa"/>
              <w:start w:w="80" w:type="dxa"/>
              <w:end w:w="80" w:type="dxa"/>
            </w:tcMar>
            <w:shd w:fill="F8F9FA" w:val="clear"/>
          </w:tcPr>
          <w:p>
            <w:pPr>
              <w:jc w:val="left"/>
            </w:pPr>
            <w:r/>
            <w:r>
              <w:rPr>
                <w:rFonts w:ascii="Calibri" w:hAnsi="Calibri"/>
                <w:color w:val="343A40"/>
                <w:sz w:val="18"/>
              </w:rPr>
              <w:t>Ghost / Text</w:t>
            </w:r>
          </w:p>
        </w:tc>
        <w:tc>
          <w:tcPr>
            <w:tcW w:type="dxa" w:w="2914"/>
            <w:vAlign w:val="center"/>
            <w:tcMar>
              <w:top w:w="60" w:type="dxa"/>
              <w:bottom w:w="60" w:type="dxa"/>
              <w:start w:w="80" w:type="dxa"/>
              <w:end w:w="80" w:type="dxa"/>
            </w:tcMar>
            <w:shd w:fill="F8F9FA" w:val="clear"/>
          </w:tcPr>
          <w:p>
            <w:pPr>
              <w:jc w:val="left"/>
            </w:pPr>
            <w:r/>
            <w:r>
              <w:rPr>
                <w:rFonts w:ascii="Calibri" w:hAnsi="Calibri"/>
                <w:color w:val="343A40"/>
                <w:sz w:val="18"/>
              </w:rPr>
              <w:t>No background, no border, Navy text. Hover: Gray 50 bg.</w:t>
            </w:r>
          </w:p>
        </w:tc>
        <w:tc>
          <w:tcPr>
            <w:tcW w:type="dxa" w:w="2914"/>
            <w:vAlign w:val="center"/>
            <w:tcMar>
              <w:top w:w="60" w:type="dxa"/>
              <w:bottom w:w="60" w:type="dxa"/>
              <w:start w:w="80" w:type="dxa"/>
              <w:end w:w="80" w:type="dxa"/>
            </w:tcMar>
            <w:shd w:fill="F8F9FA" w:val="clear"/>
          </w:tcPr>
          <w:p>
            <w:pPr>
              <w:jc w:val="left"/>
            </w:pPr>
            <w:r/>
            <w:r>
              <w:rPr>
                <w:rFonts w:ascii="Calibri" w:hAnsi="Calibri"/>
                <w:color w:val="343A40"/>
                <w:sz w:val="18"/>
              </w:rPr>
              <w:t>Low priority actions, inline interactions.</w:t>
            </w:r>
          </w:p>
        </w:tc>
      </w:tr>
      <w:tr>
        <w:tc>
          <w:tcPr>
            <w:tcW w:type="dxa" w:w="2914"/>
            <w:vAlign w:val="center"/>
            <w:tcMar>
              <w:top w:w="60" w:type="dxa"/>
              <w:bottom w:w="60" w:type="dxa"/>
              <w:start w:w="80" w:type="dxa"/>
              <w:end w:w="80" w:type="dxa"/>
            </w:tcMar>
          </w:tcPr>
          <w:p>
            <w:pPr>
              <w:jc w:val="left"/>
            </w:pPr>
            <w:r/>
            <w:r>
              <w:rPr>
                <w:rFonts w:ascii="Calibri" w:hAnsi="Calibri"/>
                <w:color w:val="343A40"/>
                <w:sz w:val="18"/>
              </w:rPr>
              <w:t>Icon Link</w:t>
            </w:r>
          </w:p>
        </w:tc>
        <w:tc>
          <w:tcPr>
            <w:tcW w:type="dxa" w:w="2914"/>
            <w:vAlign w:val="center"/>
            <w:tcMar>
              <w:top w:w="60" w:type="dxa"/>
              <w:bottom w:w="60" w:type="dxa"/>
              <w:start w:w="80" w:type="dxa"/>
              <w:end w:w="80" w:type="dxa"/>
            </w:tcMar>
          </w:tcPr>
          <w:p>
            <w:pPr>
              <w:jc w:val="left"/>
            </w:pPr>
            <w:r/>
            <w:r>
              <w:rPr>
                <w:rFonts w:ascii="Calibri" w:hAnsi="Calibri"/>
                <w:color w:val="343A40"/>
                <w:sz w:val="18"/>
              </w:rPr>
              <w:t>Text link with inline right-arrow (→).</w:t>
            </w:r>
          </w:p>
        </w:tc>
        <w:tc>
          <w:tcPr>
            <w:tcW w:type="dxa" w:w="2914"/>
            <w:vAlign w:val="center"/>
            <w:tcMar>
              <w:top w:w="60" w:type="dxa"/>
              <w:bottom w:w="60" w:type="dxa"/>
              <w:start w:w="80" w:type="dxa"/>
              <w:end w:w="80" w:type="dxa"/>
            </w:tcMar>
          </w:tcPr>
          <w:p>
            <w:pPr>
              <w:jc w:val="left"/>
            </w:pPr>
            <w:r/>
            <w:r>
              <w:rPr>
                <w:rFonts w:ascii="Calibri" w:hAnsi="Calibri"/>
                <w:color w:val="343A40"/>
                <w:sz w:val="18"/>
              </w:rPr>
              <w:t>Navigating to deep content within cards or lists.</w:t>
            </w:r>
          </w:p>
        </w:tc>
      </w:tr>
    </w:tbl>
    <w:p>
      <w:pPr>
        <w:spacing w:after="80"/>
      </w:pPr>
    </w:p>
    <w:p>
      <w:pPr>
        <w:pStyle w:val="Heading3"/>
      </w:pPr>
      <w:r>
        <w:t>Button Specifications</w:t>
      </w:r>
    </w:p>
    <w:p>
      <w:pPr>
        <w:pStyle w:val="ListBullet"/>
        <w:spacing w:before="40" w:after="60"/>
      </w:pPr>
      <w:r>
        <w:rPr>
          <w:rFonts w:ascii="Calibri" w:hAnsi="Calibri"/>
          <w:color w:val="343A40"/>
          <w:sz w:val="21"/>
        </w:rPr>
        <w:t>Typography: Medium/Semi-bold, matching Body Base (16px).</w:t>
      </w:r>
    </w:p>
    <w:p>
      <w:pPr>
        <w:pStyle w:val="ListBullet"/>
        <w:spacing w:before="40" w:after="60"/>
      </w:pPr>
      <w:r>
        <w:rPr>
          <w:rFonts w:ascii="Calibri" w:hAnsi="Calibri"/>
          <w:color w:val="343A40"/>
          <w:sz w:val="21"/>
        </w:rPr>
        <w:t>Height / Size: Large (48px height, 24px px padding), Medium (40px height, 16px px padding), Small (32px height, 12px px padding).</w:t>
      </w:r>
    </w:p>
    <w:p>
      <w:pPr>
        <w:pStyle w:val="ListBullet"/>
        <w:spacing w:before="40" w:after="60"/>
      </w:pPr>
      <w:r>
        <w:rPr>
          <w:rFonts w:ascii="Calibri" w:hAnsi="Calibri"/>
          <w:color w:val="343A40"/>
          <w:sz w:val="21"/>
        </w:rPr>
        <w:t>Border Radius: 4px (slightly sharper than cards for actionable feel).</w:t>
      </w:r>
    </w:p>
    <w:p>
      <w:pPr>
        <w:pStyle w:val="ListBullet"/>
        <w:spacing w:before="40" w:after="60"/>
      </w:pPr>
      <w:r>
        <w:rPr>
          <w:rFonts w:ascii="Calibri" w:hAnsi="Calibri"/>
          <w:color w:val="343A40"/>
          <w:sz w:val="21"/>
        </w:rPr>
        <w:t>Focus State: Absolute requirement. 2px offset outline using Brand Gold or Accent Blue when navigating via keyboard.</w:t>
      </w:r>
    </w:p>
    <w:p>
      <w:pPr>
        <w:pStyle w:val="ListBullet"/>
        <w:spacing w:before="40" w:after="60"/>
      </w:pPr>
      <w:r>
        <w:rPr>
          <w:rFonts w:ascii="Calibri" w:hAnsi="Calibri"/>
          <w:color w:val="343A40"/>
          <w:sz w:val="21"/>
        </w:rPr>
        <w:t>Touch Targets: All clickable elements must have a minimum interactive area of 44x44px for mobile accessibility.</w:t>
      </w:r>
    </w:p>
    <w:p>
      <w:r>
        <w:br w:type="page"/>
      </w:r>
    </w:p>
    <w:p>
      <w:pPr>
        <w:pStyle w:val="Heading1"/>
      </w:pPr>
      <w:r>
        <w:t>Form &amp; Input Design</w:t>
      </w:r>
    </w:p>
    <w:p>
      <w:r>
        <w:rPr>
          <w:rFonts w:ascii="Calibri" w:hAnsi="Calibri"/>
          <w:b w:val="0"/>
          <w:i w:val="0"/>
          <w:color w:val="343A40"/>
          <w:sz w:val="21"/>
        </w:rPr>
        <w:t>Forms must be frictionless and confidence-inspiring. We avoid complex layouts in favor of single-column clarity where possible.</w:t>
      </w:r>
    </w:p>
    <w:p>
      <w:pPr>
        <w:pStyle w:val="ListBullet"/>
        <w:spacing w:before="40" w:after="60"/>
      </w:pPr>
      <w:r>
        <w:rPr>
          <w:rFonts w:ascii="Calibri" w:hAnsi="Calibri"/>
          <w:color w:val="343A40"/>
          <w:sz w:val="21"/>
        </w:rPr>
        <w:t>Structure: Vertical layout. Labels placed above inputs (not inline) for faster cognitive processing.</w:t>
      </w:r>
    </w:p>
    <w:p>
      <w:pPr>
        <w:pStyle w:val="ListBullet"/>
        <w:spacing w:before="40" w:after="60"/>
      </w:pPr>
      <w:r>
        <w:rPr>
          <w:rFonts w:ascii="Calibri" w:hAnsi="Calibri"/>
          <w:color w:val="343A40"/>
          <w:sz w:val="21"/>
        </w:rPr>
        <w:t>Labels: Static, clearly visible labels (14px, Medium weight, Dark Navy). Avoid floating labels as they cause accessibility issues.</w:t>
      </w:r>
    </w:p>
    <w:p>
      <w:pPr>
        <w:pStyle w:val="ListBullet"/>
        <w:spacing w:before="40" w:after="60"/>
      </w:pPr>
      <w:r>
        <w:rPr>
          <w:rFonts w:ascii="Calibri" w:hAnsi="Calibri"/>
          <w:color w:val="343A40"/>
          <w:sz w:val="21"/>
        </w:rPr>
        <w:t>Input Fields: 48px height. 1px Gray 200 border. White background. Focus state: 1px Navy border + subtle box-shadow.</w:t>
      </w:r>
    </w:p>
    <w:p>
      <w:pPr>
        <w:pStyle w:val="ListBullet"/>
        <w:spacing w:before="40" w:after="60"/>
      </w:pPr>
      <w:r>
        <w:rPr>
          <w:rFonts w:ascii="Calibri" w:hAnsi="Calibri"/>
          <w:color w:val="343A40"/>
          <w:sz w:val="21"/>
        </w:rPr>
        <w:t>Placeholders: Use for formatting hints (e.g., 'name@company.com'), not as a replacement for labels.</w:t>
      </w:r>
    </w:p>
    <w:p>
      <w:pPr>
        <w:pStyle w:val="ListBullet"/>
        <w:spacing w:before="40" w:after="60"/>
      </w:pPr>
      <w:r>
        <w:rPr>
          <w:rFonts w:ascii="Calibri" w:hAnsi="Calibri"/>
          <w:color w:val="343A40"/>
          <w:sz w:val="21"/>
        </w:rPr>
        <w:t>Validation: Inline, real-time validation upon field blur. Use semantic colors (Red for error, Green for success) accompanied by descriptive text below the field.</w:t>
      </w:r>
    </w:p>
    <w:p>
      <w:pPr>
        <w:pStyle w:val="ListBullet"/>
        <w:spacing w:before="40" w:after="60"/>
      </w:pPr>
      <w:r>
        <w:rPr>
          <w:rFonts w:ascii="Calibri" w:hAnsi="Calibri"/>
          <w:color w:val="343A40"/>
          <w:sz w:val="21"/>
        </w:rPr>
        <w:t>Required Indicators: Clearly mark optional fields with '(Optional)'. Assume all other fields are required.</w:t>
      </w:r>
    </w:p>
    <w:p>
      <w:pPr>
        <w:pStyle w:val="Heading1"/>
      </w:pPr>
      <w:r>
        <w:t>Iconography &amp; Imagery</w:t>
      </w:r>
    </w:p>
    <w:p>
      <w:pPr>
        <w:pStyle w:val="Heading3"/>
      </w:pPr>
      <w:r>
        <w:t>Icon Guidelines</w:t>
      </w:r>
    </w:p>
    <w:p>
      <w:r>
        <w:rPr>
          <w:rFonts w:ascii="Calibri" w:hAnsi="Calibri"/>
          <w:b w:val="0"/>
          <w:i w:val="0"/>
          <w:color w:val="343A40"/>
          <w:sz w:val="21"/>
        </w:rPr>
        <w:t>Icons should serve as visual wayfinding tools, not decoration.</w:t>
      </w:r>
    </w:p>
    <w:p>
      <w:pPr>
        <w:pStyle w:val="ListBullet"/>
        <w:spacing w:before="40" w:after="60"/>
      </w:pPr>
      <w:r>
        <w:rPr>
          <w:rFonts w:ascii="Calibri" w:hAnsi="Calibri"/>
          <w:color w:val="343A40"/>
          <w:sz w:val="21"/>
        </w:rPr>
        <w:t>Style: Consistent line/outline style. 1.5px or 2px uniform stroke width.</w:t>
      </w:r>
    </w:p>
    <w:p>
      <w:pPr>
        <w:pStyle w:val="ListBullet"/>
        <w:spacing w:before="40" w:after="60"/>
      </w:pPr>
      <w:r>
        <w:rPr>
          <w:rFonts w:ascii="Calibri" w:hAnsi="Calibri"/>
          <w:color w:val="343A40"/>
          <w:sz w:val="21"/>
        </w:rPr>
        <w:t>Library Recommendation: Phosphor Icons (Light or Regular weight) or Lucide Icons.</w:t>
      </w:r>
    </w:p>
    <w:p>
      <w:pPr>
        <w:pStyle w:val="ListBullet"/>
        <w:spacing w:before="40" w:after="60"/>
      </w:pPr>
      <w:r>
        <w:rPr>
          <w:rFonts w:ascii="Calibri" w:hAnsi="Calibri"/>
          <w:color w:val="343A40"/>
          <w:sz w:val="21"/>
        </w:rPr>
        <w:t>Sizing: Standardized to 16px (inline), 24px (standard UI), 32px (card accents), 48px (major feature graphics).</w:t>
      </w:r>
    </w:p>
    <w:p>
      <w:pPr>
        <w:pStyle w:val="ListBullet"/>
        <w:spacing w:before="40" w:after="60"/>
      </w:pPr>
      <w:r>
        <w:rPr>
          <w:rFonts w:ascii="Calibri" w:hAnsi="Calibri"/>
          <w:color w:val="343A40"/>
          <w:sz w:val="21"/>
        </w:rPr>
        <w:t>Color: Typically inherit the text color or utilize Brand Gold for subtle emphasis.</w:t>
      </w:r>
    </w:p>
    <w:p>
      <w:pPr>
        <w:pStyle w:val="Heading3"/>
      </w:pPr>
      <w:r>
        <w:t>Photography &amp; Illustration</w:t>
      </w:r>
    </w:p>
    <w:p>
      <w:pPr>
        <w:pStyle w:val="ListBullet"/>
        <w:spacing w:before="40" w:after="60"/>
      </w:pPr>
      <w:r>
        <w:rPr>
          <w:rFonts w:ascii="Calibri" w:hAnsi="Calibri"/>
          <w:color w:val="343A40"/>
          <w:sz w:val="21"/>
        </w:rPr>
        <w:t>Tone: Professional, warm, trustworthy, and contextually Indian (representing local corporate environments).</w:t>
      </w:r>
    </w:p>
    <w:p>
      <w:pPr>
        <w:pStyle w:val="ListBullet"/>
        <w:spacing w:before="40" w:after="60"/>
      </w:pPr>
      <w:r>
        <w:rPr>
          <w:rFonts w:ascii="Calibri" w:hAnsi="Calibri"/>
          <w:color w:val="343A40"/>
          <w:sz w:val="21"/>
        </w:rPr>
        <w:t>Style: Avoid generic 'handshake' or 'calculator' stock photos. Focus on architectural elements, candid professional interactions, and high-quality abstractions.</w:t>
      </w:r>
    </w:p>
    <w:p>
      <w:pPr>
        <w:pStyle w:val="ListBullet"/>
        <w:spacing w:before="40" w:after="60"/>
      </w:pPr>
      <w:r>
        <w:rPr>
          <w:rFonts w:ascii="Calibri" w:hAnsi="Calibri"/>
          <w:color w:val="343A40"/>
          <w:sz w:val="21"/>
        </w:rPr>
        <w:t>Treatment: Apply a subtle desaturation or Navy color overlay to stock imagery to ensure brand consistency and allow overlaid text to remain legible.</w:t>
      </w:r>
    </w:p>
    <w:p>
      <w:pPr>
        <w:pStyle w:val="ListBullet"/>
        <w:spacing w:before="40" w:after="60"/>
      </w:pPr>
      <w:r>
        <w:rPr>
          <w:rFonts w:ascii="Calibri" w:hAnsi="Calibri"/>
          <w:color w:val="343A40"/>
          <w:sz w:val="21"/>
        </w:rPr>
        <w:t>Optimization: All imagery must be lazy-loaded and served in next-gen formats (WebP/AVIF) with appropriate `srcset` sizing.</w:t>
      </w:r>
    </w:p>
    <w:p>
      <w:r>
        <w:br w:type="page"/>
      </w:r>
    </w:p>
    <w:p>
      <w:pPr>
        <w:pStyle w:val="Heading1"/>
      </w:pPr>
      <w:r>
        <w:t>Brand Direction &amp; Anti-Patterns</w:t>
      </w:r>
    </w:p>
    <w:p>
      <w:pPr>
        <w:pStyle w:val="Heading3"/>
      </w:pPr>
      <w:r>
        <w:t>Tone of Voice</w:t>
      </w:r>
    </w:p>
    <w:p>
      <w:r>
        <w:rPr>
          <w:rFonts w:ascii="Calibri" w:hAnsi="Calibri"/>
          <w:b w:val="0"/>
          <w:i w:val="0"/>
          <w:color w:val="343A40"/>
          <w:sz w:val="21"/>
        </w:rPr>
        <w:t>The visual design must be matched by the copy tone. The platform should sound knowledgeable, precise, and approachable—never overly aggressive or 'salesy'.</w:t>
      </w:r>
    </w:p>
    <w:p>
      <w:pPr>
        <w:pStyle w:val="Heading3"/>
      </w:pPr>
      <w:r>
        <w:t>Do's vs. Don'ts (Anti-Patterns)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14"/>
        <w:gridCol w:w="2914"/>
        <w:gridCol w:w="2914"/>
      </w:tblGrid>
      <w:tr>
        <w:tc>
          <w:tcPr>
            <w:tcW w:type="dxa" w:w="2160"/>
            <w:shd w:fill="1B2A4A" w:val="clear"/>
            <w:vAlign w:val="center"/>
            <w:tcMar>
              <w:top w:w="60" w:type="dxa"/>
              <w:bottom w:w="60" w:type="dxa"/>
              <w:start w:w="80" w:type="dxa"/>
              <w:end w:w="80" w:type="dxa"/>
            </w:tcMar>
          </w:tcPr>
          <w:p>
            <w:pPr>
              <w:jc w:val="left"/>
            </w:pPr>
            <w:r/>
            <w:r>
              <w:rPr>
                <w:rFonts w:ascii="Calibri" w:hAnsi="Calibri"/>
                <w:b/>
                <w:color w:val="FFFFFF"/>
                <w:sz w:val="19"/>
              </w:rPr>
              <w:t>Category</w:t>
            </w:r>
          </w:p>
        </w:tc>
        <w:tc>
          <w:tcPr>
            <w:tcW w:type="dxa" w:w="4320"/>
            <w:shd w:fill="1B2A4A" w:val="clear"/>
            <w:vAlign w:val="center"/>
            <w:tcMar>
              <w:top w:w="60" w:type="dxa"/>
              <w:bottom w:w="60" w:type="dxa"/>
              <w:start w:w="80" w:type="dxa"/>
              <w:end w:w="80" w:type="dxa"/>
            </w:tcMar>
          </w:tcPr>
          <w:p>
            <w:pPr>
              <w:jc w:val="left"/>
            </w:pPr>
            <w:r/>
            <w:r>
              <w:rPr>
                <w:rFonts w:ascii="Calibri" w:hAnsi="Calibri"/>
                <w:b/>
                <w:color w:val="FFFFFF"/>
                <w:sz w:val="19"/>
              </w:rPr>
              <w:t>Do (Prescribed)</w:t>
            </w:r>
          </w:p>
        </w:tc>
        <w:tc>
          <w:tcPr>
            <w:tcW w:type="dxa" w:w="4320"/>
            <w:shd w:fill="1B2A4A" w:val="clear"/>
            <w:vAlign w:val="center"/>
            <w:tcMar>
              <w:top w:w="60" w:type="dxa"/>
              <w:bottom w:w="60" w:type="dxa"/>
              <w:start w:w="80" w:type="dxa"/>
              <w:end w:w="80" w:type="dxa"/>
            </w:tcMar>
          </w:tcPr>
          <w:p>
            <w:pPr>
              <w:jc w:val="left"/>
            </w:pPr>
            <w:r/>
            <w:r>
              <w:rPr>
                <w:rFonts w:ascii="Calibri" w:hAnsi="Calibri"/>
                <w:b/>
                <w:color w:val="FFFFFF"/>
                <w:sz w:val="19"/>
              </w:rPr>
              <w:t>Don't (Anti-Pattern)</w:t>
            </w:r>
          </w:p>
        </w:tc>
      </w:tr>
      <w:tr>
        <w:tc>
          <w:tcPr>
            <w:tcW w:type="dxa" w:w="2160"/>
            <w:vAlign w:val="center"/>
            <w:tcMar>
              <w:top w:w="60" w:type="dxa"/>
              <w:bottom w:w="60" w:type="dxa"/>
              <w:start w:w="80" w:type="dxa"/>
              <w:end w:w="80" w:type="dxa"/>
            </w:tcMar>
          </w:tcPr>
          <w:p>
            <w:pPr>
              <w:jc w:val="left"/>
            </w:pPr>
            <w:r/>
            <w:r>
              <w:rPr>
                <w:rFonts w:ascii="Calibri" w:hAnsi="Calibri"/>
                <w:color w:val="343A40"/>
                <w:sz w:val="18"/>
              </w:rPr>
              <w:t>Layout</w:t>
            </w:r>
          </w:p>
        </w:tc>
        <w:tc>
          <w:tcPr>
            <w:tcW w:type="dxa" w:w="4320"/>
            <w:vAlign w:val="center"/>
            <w:tcMar>
              <w:top w:w="60" w:type="dxa"/>
              <w:bottom w:w="60" w:type="dxa"/>
              <w:start w:w="80" w:type="dxa"/>
              <w:end w:w="80" w:type="dxa"/>
            </w:tcMar>
          </w:tcPr>
          <w:p>
            <w:pPr>
              <w:jc w:val="left"/>
            </w:pPr>
            <w:r/>
            <w:r>
              <w:rPr>
                <w:rFonts w:ascii="Calibri" w:hAnsi="Calibri"/>
                <w:color w:val="343A40"/>
                <w:sz w:val="18"/>
              </w:rPr>
              <w:t>Use generous white space to separate distinct concepts.</w:t>
            </w:r>
          </w:p>
        </w:tc>
        <w:tc>
          <w:tcPr>
            <w:tcW w:type="dxa" w:w="4320"/>
            <w:vAlign w:val="center"/>
            <w:tcMar>
              <w:top w:w="60" w:type="dxa"/>
              <w:bottom w:w="60" w:type="dxa"/>
              <w:start w:w="80" w:type="dxa"/>
              <w:end w:w="80" w:type="dxa"/>
            </w:tcMar>
          </w:tcPr>
          <w:p>
            <w:pPr>
              <w:jc w:val="left"/>
            </w:pPr>
            <w:r/>
            <w:r>
              <w:rPr>
                <w:rFonts w:ascii="Calibri" w:hAnsi="Calibri"/>
                <w:color w:val="343A40"/>
                <w:sz w:val="18"/>
              </w:rPr>
              <w:t>Create crowded layouts with overlapping elements.</w:t>
            </w:r>
          </w:p>
        </w:tc>
      </w:tr>
      <w:tr>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Color</w:t>
            </w:r>
          </w:p>
        </w:tc>
        <w:tc>
          <w:tcPr>
            <w:tcW w:type="dxa" w:w="4320"/>
            <w:vAlign w:val="center"/>
            <w:tcMar>
              <w:top w:w="60" w:type="dxa"/>
              <w:bottom w:w="60" w:type="dxa"/>
              <w:start w:w="80" w:type="dxa"/>
              <w:end w:w="80" w:type="dxa"/>
            </w:tcMar>
            <w:shd w:fill="F8F9FA" w:val="clear"/>
          </w:tcPr>
          <w:p>
            <w:pPr>
              <w:jc w:val="left"/>
            </w:pPr>
            <w:r/>
            <w:r>
              <w:rPr>
                <w:rFonts w:ascii="Calibri" w:hAnsi="Calibri"/>
                <w:color w:val="343A40"/>
                <w:sz w:val="18"/>
              </w:rPr>
              <w:t>Limit views to 1-2 primary colors + neutrals.</w:t>
            </w:r>
          </w:p>
        </w:tc>
        <w:tc>
          <w:tcPr>
            <w:tcW w:type="dxa" w:w="4320"/>
            <w:vAlign w:val="center"/>
            <w:tcMar>
              <w:top w:w="60" w:type="dxa"/>
              <w:bottom w:w="60" w:type="dxa"/>
              <w:start w:w="80" w:type="dxa"/>
              <w:end w:w="80" w:type="dxa"/>
            </w:tcMar>
            <w:shd w:fill="F8F9FA" w:val="clear"/>
          </w:tcPr>
          <w:p>
            <w:pPr>
              <w:jc w:val="left"/>
            </w:pPr>
            <w:r/>
            <w:r>
              <w:rPr>
                <w:rFonts w:ascii="Calibri" w:hAnsi="Calibri"/>
                <w:color w:val="343A40"/>
                <w:sz w:val="18"/>
              </w:rPr>
              <w:t>Use more than 3 distinct colors in a single view.</w:t>
            </w:r>
          </w:p>
        </w:tc>
      </w:tr>
      <w:tr>
        <w:tc>
          <w:tcPr>
            <w:tcW w:type="dxa" w:w="2160"/>
            <w:vAlign w:val="center"/>
            <w:tcMar>
              <w:top w:w="60" w:type="dxa"/>
              <w:bottom w:w="60" w:type="dxa"/>
              <w:start w:w="80" w:type="dxa"/>
              <w:end w:w="80" w:type="dxa"/>
            </w:tcMar>
          </w:tcPr>
          <w:p>
            <w:pPr>
              <w:jc w:val="left"/>
            </w:pPr>
            <w:r/>
            <w:r>
              <w:rPr>
                <w:rFonts w:ascii="Calibri" w:hAnsi="Calibri"/>
                <w:color w:val="343A40"/>
                <w:sz w:val="18"/>
              </w:rPr>
              <w:t>Motion</w:t>
            </w:r>
          </w:p>
        </w:tc>
        <w:tc>
          <w:tcPr>
            <w:tcW w:type="dxa" w:w="4320"/>
            <w:vAlign w:val="center"/>
            <w:tcMar>
              <w:top w:w="60" w:type="dxa"/>
              <w:bottom w:w="60" w:type="dxa"/>
              <w:start w:w="80" w:type="dxa"/>
              <w:end w:w="80" w:type="dxa"/>
            </w:tcMar>
          </w:tcPr>
          <w:p>
            <w:pPr>
              <w:jc w:val="left"/>
            </w:pPr>
            <w:r/>
            <w:r>
              <w:rPr>
                <w:rFonts w:ascii="Calibri" w:hAnsi="Calibri"/>
                <w:color w:val="343A40"/>
                <w:sz w:val="18"/>
              </w:rPr>
              <w:t>Use subtle fades and slight translations on interaction.</w:t>
            </w:r>
          </w:p>
        </w:tc>
        <w:tc>
          <w:tcPr>
            <w:tcW w:type="dxa" w:w="4320"/>
            <w:vAlign w:val="center"/>
            <w:tcMar>
              <w:top w:w="60" w:type="dxa"/>
              <w:bottom w:w="60" w:type="dxa"/>
              <w:start w:w="80" w:type="dxa"/>
              <w:end w:w="80" w:type="dxa"/>
            </w:tcMar>
          </w:tcPr>
          <w:p>
            <w:pPr>
              <w:jc w:val="left"/>
            </w:pPr>
            <w:r/>
            <w:r>
              <w:rPr>
                <w:rFonts w:ascii="Calibri" w:hAnsi="Calibri"/>
                <w:color w:val="343A40"/>
                <w:sz w:val="18"/>
              </w:rPr>
              <w:t>Use flashy, bouncy, or continuous loop animations.</w:t>
            </w:r>
          </w:p>
        </w:tc>
      </w:tr>
      <w:tr>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Imagery</w:t>
            </w:r>
          </w:p>
        </w:tc>
        <w:tc>
          <w:tcPr>
            <w:tcW w:type="dxa" w:w="4320"/>
            <w:vAlign w:val="center"/>
            <w:tcMar>
              <w:top w:w="60" w:type="dxa"/>
              <w:bottom w:w="60" w:type="dxa"/>
              <w:start w:w="80" w:type="dxa"/>
              <w:end w:w="80" w:type="dxa"/>
            </w:tcMar>
            <w:shd w:fill="F8F9FA" w:val="clear"/>
          </w:tcPr>
          <w:p>
            <w:pPr>
              <w:jc w:val="left"/>
            </w:pPr>
            <w:r/>
            <w:r>
              <w:rPr>
                <w:rFonts w:ascii="Calibri" w:hAnsi="Calibri"/>
                <w:color w:val="343A40"/>
                <w:sz w:val="18"/>
              </w:rPr>
              <w:t>Use curated, high-quality, authentic-feeling photography.</w:t>
            </w:r>
          </w:p>
        </w:tc>
        <w:tc>
          <w:tcPr>
            <w:tcW w:type="dxa" w:w="4320"/>
            <w:vAlign w:val="center"/>
            <w:tcMar>
              <w:top w:w="60" w:type="dxa"/>
              <w:bottom w:w="60" w:type="dxa"/>
              <w:start w:w="80" w:type="dxa"/>
              <w:end w:w="80" w:type="dxa"/>
            </w:tcMar>
            <w:shd w:fill="F8F9FA" w:val="clear"/>
          </w:tcPr>
          <w:p>
            <w:pPr>
              <w:jc w:val="left"/>
            </w:pPr>
            <w:r/>
            <w:r>
              <w:rPr>
                <w:rFonts w:ascii="Calibri" w:hAnsi="Calibri"/>
                <w:color w:val="343A40"/>
                <w:sz w:val="18"/>
              </w:rPr>
              <w:t>Use cheap, generic stock photos (e.g., puzzles, piggy banks).</w:t>
            </w:r>
          </w:p>
        </w:tc>
      </w:tr>
      <w:tr>
        <w:tc>
          <w:tcPr>
            <w:tcW w:type="dxa" w:w="2160"/>
            <w:vAlign w:val="center"/>
            <w:tcMar>
              <w:top w:w="60" w:type="dxa"/>
              <w:bottom w:w="60" w:type="dxa"/>
              <w:start w:w="80" w:type="dxa"/>
              <w:end w:w="80" w:type="dxa"/>
            </w:tcMar>
          </w:tcPr>
          <w:p>
            <w:pPr>
              <w:jc w:val="left"/>
            </w:pPr>
            <w:r/>
            <w:r>
              <w:rPr>
                <w:rFonts w:ascii="Calibri" w:hAnsi="Calibri"/>
                <w:color w:val="343A40"/>
                <w:sz w:val="18"/>
              </w:rPr>
              <w:t>Navigation</w:t>
            </w:r>
          </w:p>
        </w:tc>
        <w:tc>
          <w:tcPr>
            <w:tcW w:type="dxa" w:w="4320"/>
            <w:vAlign w:val="center"/>
            <w:tcMar>
              <w:top w:w="60" w:type="dxa"/>
              <w:bottom w:w="60" w:type="dxa"/>
              <w:start w:w="80" w:type="dxa"/>
              <w:end w:w="80" w:type="dxa"/>
            </w:tcMar>
          </w:tcPr>
          <w:p>
            <w:pPr>
              <w:jc w:val="left"/>
            </w:pPr>
            <w:r/>
            <w:r>
              <w:rPr>
                <w:rFonts w:ascii="Calibri" w:hAnsi="Calibri"/>
                <w:color w:val="343A40"/>
                <w:sz w:val="18"/>
              </w:rPr>
              <w:t>Maintain a clean, categorized header with clear labeling.</w:t>
            </w:r>
          </w:p>
        </w:tc>
        <w:tc>
          <w:tcPr>
            <w:tcW w:type="dxa" w:w="4320"/>
            <w:vAlign w:val="center"/>
            <w:tcMar>
              <w:top w:w="60" w:type="dxa"/>
              <w:bottom w:w="60" w:type="dxa"/>
              <w:start w:w="80" w:type="dxa"/>
              <w:end w:w="80" w:type="dxa"/>
            </w:tcMar>
          </w:tcPr>
          <w:p>
            <w:pPr>
              <w:jc w:val="left"/>
            </w:pPr>
            <w:r/>
            <w:r>
              <w:rPr>
                <w:rFonts w:ascii="Calibri" w:hAnsi="Calibri"/>
                <w:color w:val="343A40"/>
                <w:sz w:val="18"/>
              </w:rPr>
              <w:t>Use deeply nested mega-menus or cluttered utility bars.</w:t>
            </w:r>
          </w:p>
        </w:tc>
      </w:tr>
      <w:tr>
        <w:tc>
          <w:tcPr>
            <w:tcW w:type="dxa" w:w="2160"/>
            <w:vAlign w:val="center"/>
            <w:tcMar>
              <w:top w:w="60" w:type="dxa"/>
              <w:bottom w:w="60" w:type="dxa"/>
              <w:start w:w="80" w:type="dxa"/>
              <w:end w:w="80" w:type="dxa"/>
            </w:tcMar>
            <w:shd w:fill="F8F9FA" w:val="clear"/>
          </w:tcPr>
          <w:p>
            <w:pPr>
              <w:jc w:val="left"/>
            </w:pPr>
            <w:r/>
            <w:r>
              <w:rPr>
                <w:rFonts w:ascii="Calibri" w:hAnsi="Calibri"/>
                <w:color w:val="343A40"/>
                <w:sz w:val="18"/>
              </w:rPr>
              <w:t>Media</w:t>
            </w:r>
          </w:p>
        </w:tc>
        <w:tc>
          <w:tcPr>
            <w:tcW w:type="dxa" w:w="4320"/>
            <w:vAlign w:val="center"/>
            <w:tcMar>
              <w:top w:w="60" w:type="dxa"/>
              <w:bottom w:w="60" w:type="dxa"/>
              <w:start w:w="80" w:type="dxa"/>
              <w:end w:w="80" w:type="dxa"/>
            </w:tcMar>
            <w:shd w:fill="F8F9FA" w:val="clear"/>
          </w:tcPr>
          <w:p>
            <w:pPr>
              <w:jc w:val="left"/>
            </w:pPr>
            <w:r/>
            <w:r>
              <w:rPr>
                <w:rFonts w:ascii="Calibri" w:hAnsi="Calibri"/>
                <w:color w:val="343A40"/>
                <w:sz w:val="18"/>
              </w:rPr>
              <w:t>Allow users to initiate video/audio playback.</w:t>
            </w:r>
          </w:p>
        </w:tc>
        <w:tc>
          <w:tcPr>
            <w:tcW w:type="dxa" w:w="4320"/>
            <w:vAlign w:val="center"/>
            <w:tcMar>
              <w:top w:w="60" w:type="dxa"/>
              <w:bottom w:w="60" w:type="dxa"/>
              <w:start w:w="80" w:type="dxa"/>
              <w:end w:w="80" w:type="dxa"/>
            </w:tcMar>
            <w:shd w:fill="F8F9FA" w:val="clear"/>
          </w:tcPr>
          <w:p>
            <w:pPr>
              <w:jc w:val="left"/>
            </w:pPr>
            <w:r/>
            <w:r>
              <w:rPr>
                <w:rFonts w:ascii="Calibri" w:hAnsi="Calibri"/>
                <w:color w:val="343A40"/>
                <w:sz w:val="18"/>
              </w:rPr>
              <w:t>Implement auto-playing media, especially with sound.</w:t>
            </w:r>
          </w:p>
        </w:tc>
      </w:tr>
      <w:tr>
        <w:tc>
          <w:tcPr>
            <w:tcW w:type="dxa" w:w="2160"/>
            <w:vAlign w:val="center"/>
            <w:tcMar>
              <w:top w:w="60" w:type="dxa"/>
              <w:bottom w:w="60" w:type="dxa"/>
              <w:start w:w="80" w:type="dxa"/>
              <w:end w:w="80" w:type="dxa"/>
            </w:tcMar>
          </w:tcPr>
          <w:p>
            <w:pPr>
              <w:jc w:val="left"/>
            </w:pPr>
            <w:r/>
            <w:r>
              <w:rPr>
                <w:rFonts w:ascii="Calibri" w:hAnsi="Calibri"/>
                <w:color w:val="343A40"/>
                <w:sz w:val="18"/>
              </w:rPr>
              <w:t>Conversion</w:t>
            </w:r>
          </w:p>
        </w:tc>
        <w:tc>
          <w:tcPr>
            <w:tcW w:type="dxa" w:w="4320"/>
            <w:vAlign w:val="center"/>
            <w:tcMar>
              <w:top w:w="60" w:type="dxa"/>
              <w:bottom w:w="60" w:type="dxa"/>
              <w:start w:w="80" w:type="dxa"/>
              <w:end w:w="80" w:type="dxa"/>
            </w:tcMar>
          </w:tcPr>
          <w:p>
            <w:pPr>
              <w:jc w:val="left"/>
            </w:pPr>
            <w:r/>
            <w:r>
              <w:rPr>
                <w:rFonts w:ascii="Calibri" w:hAnsi="Calibri"/>
                <w:color w:val="343A40"/>
                <w:sz w:val="18"/>
              </w:rPr>
              <w:t>Place clear, contextually relevant CTAs at section ends.</w:t>
            </w:r>
          </w:p>
        </w:tc>
        <w:tc>
          <w:tcPr>
            <w:tcW w:type="dxa" w:w="4320"/>
            <w:vAlign w:val="center"/>
            <w:tcMar>
              <w:top w:w="60" w:type="dxa"/>
              <w:bottom w:w="60" w:type="dxa"/>
              <w:start w:w="80" w:type="dxa"/>
              <w:end w:w="80" w:type="dxa"/>
            </w:tcMar>
          </w:tcPr>
          <w:p>
            <w:pPr>
              <w:jc w:val="left"/>
            </w:pPr>
            <w:r/>
            <w:r>
              <w:rPr>
                <w:rFonts w:ascii="Calibri" w:hAnsi="Calibri"/>
                <w:color w:val="343A40"/>
                <w:sz w:val="18"/>
              </w:rPr>
              <w:t>Use aggressive pop-ups, modals on entry, or sticky banners.</w:t>
            </w:r>
          </w:p>
        </w:tc>
      </w:tr>
    </w:tbl>
    <w:p>
      <w:pPr>
        <w:spacing w:after="80"/>
      </w:pPr>
    </w:p>
    <w:p>
      <w:r>
        <w:br w:type="page"/>
      </w:r>
    </w:p>
    <w:p>
      <w:pPr>
        <w:pStyle w:val="Heading1"/>
      </w:pPr>
      <w:r>
        <w:t>Future Design System Roadmap</w:t>
      </w:r>
    </w:p>
    <w:p>
      <w:r>
        <w:rPr>
          <w:rFonts w:ascii="Calibri" w:hAnsi="Calibri"/>
          <w:b w:val="0"/>
          <w:i w:val="0"/>
          <w:color w:val="343A40"/>
          <w:sz w:val="21"/>
        </w:rPr>
        <w:t>To ensure scalability as Knowith Capital transitions into Phase 02 (Investor Portal &amp; AI Tools), this UI/UX guide should be formalized into a strictly governed design system.</w:t>
      </w:r>
    </w:p>
    <w:p>
      <w:pPr>
        <w:pStyle w:val="ListBullet"/>
        <w:spacing w:before="40" w:after="60"/>
      </w:pPr>
      <w:r>
        <w:rPr>
          <w:rFonts w:ascii="Calibri" w:hAnsi="Calibri"/>
          <w:color w:val="343A40"/>
          <w:sz w:val="21"/>
        </w:rPr>
        <w:t>Design Tokens: Map all colors, spacing, and typography to CSS variables/tokens (e.g., `--color-primary-navy`, `--space-24`) to eliminate hardcoded values.</w:t>
      </w:r>
    </w:p>
    <w:p>
      <w:pPr>
        <w:pStyle w:val="ListBullet"/>
        <w:spacing w:before="40" w:after="60"/>
      </w:pPr>
      <w:r>
        <w:rPr>
          <w:rFonts w:ascii="Calibri" w:hAnsi="Calibri"/>
          <w:color w:val="343A40"/>
          <w:sz w:val="21"/>
        </w:rPr>
        <w:t>Component Library: Establish a centralized Figma component library utilizing Auto Layout and Variants for all cards, buttons, and form elements.</w:t>
      </w:r>
    </w:p>
    <w:p>
      <w:pPr>
        <w:pStyle w:val="ListBullet"/>
        <w:spacing w:before="40" w:after="60"/>
      </w:pPr>
      <w:r>
        <w:rPr>
          <w:rFonts w:ascii="Calibri" w:hAnsi="Calibri"/>
          <w:color w:val="343A40"/>
          <w:sz w:val="21"/>
        </w:rPr>
        <w:t>Developer Handoff: Implement Storybook (or similar) to catalog coded UI components, ensuring the React/Next.js implementation perfectly matches the Figma designs.</w:t>
      </w:r>
    </w:p>
    <w:p>
      <w:pPr>
        <w:pStyle w:val="ListBullet"/>
        <w:spacing w:before="40" w:after="60"/>
      </w:pPr>
      <w:r>
        <w:rPr>
          <w:rFonts w:ascii="Calibri" w:hAnsi="Calibri"/>
          <w:color w:val="343A40"/>
          <w:sz w:val="21"/>
        </w:rPr>
        <w:t>Governance: Any new component required for future phases must be designed, reviewed for accessibility, and added to the master library before implementation.</w:t>
      </w:r>
    </w:p>
    <w:p>
      <w:pPr>
        <w:pStyle w:val="Heading1"/>
      </w:pPr>
      <w:r>
        <w:t>Appendix</w:t>
      </w:r>
    </w:p>
    <w:p>
      <w:pPr>
        <w:pStyle w:val="Heading3"/>
      </w:pPr>
      <w:r>
        <w:t>Recommended Tooling</w:t>
      </w:r>
    </w:p>
    <w:p>
      <w:pPr>
        <w:pStyle w:val="ListBullet"/>
        <w:spacing w:before="40" w:after="60"/>
      </w:pPr>
      <w:r>
        <w:rPr>
          <w:rFonts w:ascii="Calibri" w:hAnsi="Calibri"/>
          <w:color w:val="343A40"/>
          <w:sz w:val="21"/>
        </w:rPr>
        <w:t>UI/UX Design &amp; Prototyping: Figma</w:t>
      </w:r>
    </w:p>
    <w:p>
      <w:pPr>
        <w:pStyle w:val="ListBullet"/>
        <w:spacing w:before="40" w:after="60"/>
      </w:pPr>
      <w:r>
        <w:rPr>
          <w:rFonts w:ascii="Calibri" w:hAnsi="Calibri"/>
          <w:color w:val="343A40"/>
          <w:sz w:val="21"/>
        </w:rPr>
        <w:t>Component Documentation: Storybook</w:t>
      </w:r>
    </w:p>
    <w:p>
      <w:pPr>
        <w:pStyle w:val="ListBullet"/>
        <w:spacing w:before="40" w:after="60"/>
      </w:pPr>
      <w:r>
        <w:rPr>
          <w:rFonts w:ascii="Calibri" w:hAnsi="Calibri"/>
          <w:color w:val="343A40"/>
          <w:sz w:val="21"/>
        </w:rPr>
        <w:t>Iconography: Phosphor Icons (phosphoricons.com)</w:t>
      </w:r>
    </w:p>
    <w:p>
      <w:pPr>
        <w:pStyle w:val="ListBullet"/>
        <w:spacing w:before="40" w:after="60"/>
      </w:pPr>
      <w:r>
        <w:rPr>
          <w:rFonts w:ascii="Calibri" w:hAnsi="Calibri"/>
          <w:color w:val="343A40"/>
          <w:sz w:val="21"/>
        </w:rPr>
        <w:t>Accessibility Testing: Wave Tool, Lighthouse, Stark (Figma Plugin)</w:t>
      </w:r>
    </w:p>
    <w:p>
      <w:pPr>
        <w:pStyle w:val="Heading3"/>
      </w:pPr>
      <w:r>
        <w:t>Mood Board Direction</w:t>
      </w:r>
    </w:p>
    <w:p>
      <w:r>
        <w:rPr>
          <w:rFonts w:ascii="Calibri" w:hAnsi="Calibri"/>
          <w:b w:val="0"/>
          <w:i w:val="0"/>
          <w:color w:val="343A40"/>
          <w:sz w:val="21"/>
        </w:rPr>
        <w:t>Visual Reference Summary: Architectural lines, deep ocean blues, matte gold finishes, crisp white paper, minimalist typography. The aesthetic should evoke the feeling of entering a high-end corporate office in BKC (Mumbai) or a private banking suite—quiet, secure, and impeccably maintained.</w:t>
      </w:r>
    </w:p>
    <w:sectPr w:rsidR="00FC693F" w:rsidRPr="0006063C" w:rsidSect="00034616">
      <w:headerReference w:type="default" r:id="rId9"/>
      <w:footerReference w:type="default" r:id="rId10"/>
      <w:pgSz w:w="11909" w:h="16834"/>
      <w:pgMar w:top="1440" w:right="1584" w:bottom="1152"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left"/>
      <w:pBdr>
        <w:top w:val="single" w:sz="4" w:space="4" w:color="C9A96E"/>
      </w:pBdr>
    </w:pPr>
    <w:r>
      <w:rPr>
        <w:rFonts w:ascii="Calibri" w:hAnsi="Calibri"/>
        <w:b w:val="0"/>
        <w:color w:val="6C757D"/>
        <w:sz w:val="16"/>
      </w:rPr>
      <w:t xml:space="preserve">CONFIDENTIAL  |  </w:t>
    </w:r>
    <w:r>
      <w:rPr>
        <w:rFonts w:ascii="Calibri" w:hAnsi="Calibri"/>
        <w:color w:val="6C757D"/>
        <w:sz w:val="16"/>
      </w:rPr>
      <w:t>© 2026 Knowith Capital</w:t>
    </w:r>
    <w:r>
      <w:tab/>
      <w:tab/>
      <w:tab/>
      <w:tab/>
      <w:tab/>
    </w:r>
    <w:r>
      <w:rPr>
        <w:rFonts w:ascii="Calibri" w:hAnsi="Calibri"/>
        <w:color w:val="6C757D"/>
        <w:sz w:val="16"/>
      </w:rPr>
      <w:t xml:space="preserve">Page </w:t>
    </w:r>
    <w:r>
      <w:fldChar w:fldCharType="begin"/>
    </w:r>
    <w:r>
      <w:rPr>
        <w:rFonts w:ascii="Calibri" w:hAnsi="Calibri"/>
        <w:color w:val="6C757D"/>
        <w:sz w:val="16"/>
      </w:rPr>
      <w:instrText xml:space="preserve"> PAGE </w:instrText>
    </w:r>
    <w:r>
      <w:fldChar w:fldCharType="separate"/>
    </w:r>
    <w:r>
      <w:rPr>
        <w:rFonts w:ascii="Calibri" w:hAnsi="Calibri"/>
        <w:color w:val="6C757D"/>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4" w:space="4" w:color="C9A96E"/>
      </w:pBdr>
    </w:pPr>
    <w:r>
      <w:rPr>
        <w:rFonts w:ascii="Calibri" w:hAnsi="Calibri"/>
        <w:b/>
        <w:color w:val="1B2A4A"/>
        <w:sz w:val="16"/>
      </w:rPr>
      <w:t xml:space="preserve">Knowith Capital  |  </w:t>
    </w:r>
    <w:r>
      <w:rPr>
        <w:rFonts w:ascii="Calibri" w:hAnsi="Calibri"/>
        <w:b w:val="0"/>
        <w:color w:val="6C757D"/>
        <w:sz w:val="16"/>
      </w:rPr>
      <w:t>UI/UX Design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Rule="auto" w:line="312"/>
    </w:pPr>
    <w:rPr>
      <w:rFonts w:ascii="Calibri" w:hAnsi="Calibri"/>
      <w:color w:val="343A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60" w:after="240"/>
      <w:outlineLvl w:val="0"/>
    </w:pPr>
    <w:rPr>
      <w:rFonts w:asciiTheme="majorHAnsi" w:eastAsiaTheme="majorEastAsia" w:hAnsiTheme="majorHAnsi" w:cstheme="majorBidi" w:ascii="Calibri Light" w:hAnsi="Calibri Light"/>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440" w:after="160"/>
      <w:outlineLvl w:val="1"/>
    </w:pPr>
    <w:rPr>
      <w:rFonts w:asciiTheme="majorHAnsi" w:eastAsiaTheme="majorEastAsia" w:hAnsiTheme="majorHAnsi" w:cstheme="majorBidi" w:ascii="Calibri Light" w:hAnsi="Calibri Light"/>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Light" w:hAnsi="Calibri Light"/>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Light" w:hAnsi="Calibri Light"/>
      <w:b/>
      <w:bCs/>
      <w:i/>
      <w:iCs/>
      <w:color w:val="2C3E5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40" w:after="60"/>
      <w:contextualSpacing/>
    </w:pPr>
    <w:rPr>
      <w:rFonts w:ascii="Calibri" w:hAnsi="Calibri"/>
      <w:color w:val="343A4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