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0"/>
      </w:pPr>
      <w:r>
        <w:rPr>
          <w:rFonts w:ascii="Calibri" w:cs="Calibri" w:eastAsia="Calibri" w:hAnsi="Calibri"/>
          <w:b/>
          <w:bCs/>
          <w:color w:val="1F3A5F"/>
          <w:sz w:val="96"/>
          <w:szCs w:val="96"/>
        </w:rPr>
        <w:t xml:space="preserve">AIMS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2E6DA4"/>
          <w:sz w:val="40"/>
          <w:szCs w:val="40"/>
        </w:rPr>
        <w:t xml:space="preserve">Agentic Incident Management System</w:t>
      </w:r>
    </w:p>
    <w:p>
      <w:pPr>
        <w:pBdr>
          <w:bottom w:val="single" w:color="2E6DA4" w:sz="12" w:space="6"/>
        </w:pBdr>
        <w:spacing w:after="360"/>
      </w:pPr>
      <w:r>
        <w:rPr>
          <w:rFonts w:ascii="Calibri" w:cs="Calibri" w:eastAsia="Calibri" w:hAnsi="Calibri"/>
          <w:color w:val="5A6B7B"/>
          <w:sz w:val="30"/>
          <w:szCs w:val="30"/>
        </w:rPr>
        <w:t xml:space="preserve">Project Handover Document</w:t>
      </w:r>
    </w:p>
    <w:p>
      <w:pPr>
        <w:spacing w:after="120"/>
      </w:pPr>
      <w:r>
        <w:rPr>
          <w:color w:val="1A1A1A"/>
          <w:sz w:val="24"/>
          <w:szCs w:val="24"/>
        </w:rPr>
        <w:t xml:space="preserve">Layer 3 — AI Agents Reasoning Layer &amp; Triage UI</w:t>
      </w:r>
    </w:p>
    <w:p>
      <w:pPr>
        <w:spacing w:after="600"/>
      </w:pPr>
      <w:r>
        <w:rPr>
          <w:i/>
          <w:iCs/>
          <w:color w:val="5A6B7B"/>
          <w:sz w:val="22"/>
          <w:szCs w:val="22"/>
        </w:rPr>
        <w:t xml:space="preserve">A component of the manufacturing-compliance pipeline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</w:tblGrid>
      <w:tr>
        <w:tc>
          <w:tcPr>
            <w:tcW w:type="dxa" w:w="2600"/>
            <w:tcBorders>
              <w:top w:val="none"/>
              <w:left w:val="none"/>
              <w:bottom w:val="single" w:color="D9E2EC" w:sz="4"/>
              <w:right w:val="none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Repository</w:t>
            </w:r>
          </w:p>
        </w:tc>
        <w:tc>
          <w:tcPr>
            <w:tcW w:type="dxa" w:w="4600"/>
            <w:tcBorders>
              <w:top w:val="none"/>
              <w:left w:val="none"/>
              <w:bottom w:val="single" w:color="D9E2EC" w:sz="4"/>
              <w:right w:val="none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agentic-incident-management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single" w:color="D9E2EC" w:sz="4"/>
              <w:right w:val="none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600"/>
            <w:tcBorders>
              <w:top w:val="none"/>
              <w:left w:val="none"/>
              <w:bottom w:val="single" w:color="D9E2EC" w:sz="4"/>
              <w:right w:val="none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Layer 3 (AI Agents Reasoning) + Triage UI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single" w:color="D9E2EC" w:sz="4"/>
              <w:right w:val="none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Status</w:t>
            </w:r>
          </w:p>
        </w:tc>
        <w:tc>
          <w:tcPr>
            <w:tcW w:type="dxa" w:w="4600"/>
            <w:tcBorders>
              <w:top w:val="none"/>
              <w:left w:val="none"/>
              <w:bottom w:val="single" w:color="D9E2EC" w:sz="4"/>
              <w:right w:val="none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Working demo — local-file persistence, demo logins, Azure OpenAI (gpt-4.1-mini)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single" w:color="D9E2EC" w:sz="4"/>
              <w:right w:val="none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4600"/>
            <w:tcBorders>
              <w:top w:val="none"/>
              <w:left w:val="none"/>
              <w:bottom w:val="single" w:color="D9E2EC" w:sz="4"/>
              <w:right w:val="none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30 June 2026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60"/>
      </w:pPr>
      <w:r>
        <w:rPr>
          <w:b/>
          <w:bCs/>
          <w:color w:val="1F3A5F"/>
          <w:sz w:val="32"/>
          <w:szCs w:val="32"/>
        </w:rPr>
        <w:t xml:space="preserve">Table of Contents</w:t>
      </w:r>
    </w:p>
    <w:p>
      <w:pPr>
        <w:pBdr>
          <w:bottom w:val="single" w:color="2E6DA4" w:sz="8" w:space="1"/>
        </w:pBdr>
        <w:spacing w:after="160" w:before="60"/>
      </w:pPr>
      <w:r>
        <w:t xml:space="preserv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 What This Is</w:t>
      </w:r>
    </w:p>
    <w:p>
      <w:pPr>
        <w:spacing w:after="120" w:line="276"/>
      </w:pPr>
      <w:r>
        <w:t xml:space="preserve">A worker assembles a product on video; the build is checked against a </w:t>
      </w:r>
      <w:r>
        <w:rPr>
          <w:b/>
          <w:bCs/>
        </w:rPr>
        <w:t xml:space="preserve">Standard Operating Procedure (SOP)</w:t>
      </w:r>
      <w:r>
        <w:t xml:space="preserve">; any deviation becomes a tracked, severity-classified incident ticket that is routed to the right role and chased until resolved.</w:t>
      </w:r>
    </w:p>
    <w:p>
      <w:pPr>
        <w:spacing w:after="120" w:line="276"/>
      </w:pPr>
      <w:r>
        <w:t xml:space="preserve">This repository owns </w:t>
      </w:r>
      <w:r>
        <w:rPr>
          <w:b/>
          <w:bCs/>
        </w:rPr>
        <w:t xml:space="preserve">Layer 3 and the UI</w:t>
      </w:r>
      <w:r>
        <w:t xml:space="preserve">. Layers 1 and 2 (video capture and per-step compliance reasoning) are owned by teammates and feed this repo a </w:t>
      </w:r>
      <w:r>
        <w:rPr>
          <w:b/>
          <w:bCs/>
        </w:rPr>
        <w:t xml:space="preserve">verdicts JSON</w:t>
      </w:r>
      <w:r>
        <w:t xml:space="preserve"> file per production run.</w:t>
      </w:r>
    </w:p>
    <w:p>
      <w:pPr>
        <w:pBdr>
          <w:top w:val="single" w:color="DDDDDD" w:sz="2" w:space="4"/>
          <w:left w:val="single" w:color="2E6DA4" w:sz="8" w:space="6"/>
          <w:bottom w:val="single" w:color="DDDDDD" w:sz="2" w:space="4"/>
          <w:right w:val="single" w:color="DDDDDD" w:sz="2" w:space="4"/>
        </w:pBdr>
        <w:shd w:fill="F4F4F4" w:val="clear"/>
        <w:spacing w:after="60" w:before="6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Layer 1 (video)  -&gt;  Layer 2 (compliance verdicts)  -&gt;  +--------- THIS REPO ----------+</w:t>
        <w:br/>
        <w:t xml:space="preserve">                                                        | Agent 3 -&gt; Root-Cause -&gt; UI  |</w:t>
        <w:br/>
        <w:t xml:space="preserve">                                                        +------------------------------+</w:t>
      </w:r>
    </w:p>
    <w:p>
      <w:pPr>
        <w:pStyle w:val="Heading1"/>
      </w:pPr>
      <w:r>
        <w:t xml:space="preserve">2.  Current Status — What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rPr>
          <w:tblHeader/>
        </w:trPr>
        <w:tc>
          <w:tcPr>
            <w:tcW w:type="dxa" w:w="69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F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24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F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</w:tr>
      <w:tr>
        <w:tc>
          <w:tcPr>
            <w:tcW w:type="dxa" w:w="69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Deviation → severity-classified incident (LLM)</w:t>
            </w:r>
          </w:p>
        </w:tc>
        <w:tc>
          <w:tcPr>
            <w:tcW w:type="dxa" w:w="24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sz w:val="20"/>
                <w:szCs w:val="20"/>
              </w:rPr>
              <w:t xml:space="preserve">Working</w:t>
            </w:r>
          </w:p>
        </w:tc>
      </w:tr>
      <w:tr>
        <w:tc>
          <w:tcPr>
            <w:tcW w:type="dxa" w:w="69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sz w:val="20"/>
                <w:szCs w:val="20"/>
              </w:rPr>
              <w:t xml:space="preserve">“Unable to Verify” risk-rating + human-review routing</w:t>
            </w:r>
          </w:p>
        </w:tc>
        <w:tc>
          <w:tcPr>
            <w:tcW w:type="dxa" w:w="24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sz w:val="20"/>
                <w:szCs w:val="20"/>
              </w:rPr>
              <w:t xml:space="preserve">Working</w:t>
            </w:r>
          </w:p>
        </w:tc>
      </w:tr>
      <w:tr>
        <w:tc>
          <w:tcPr>
            <w:tcW w:type="dxa" w:w="69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Per-run root-cause diagnosis (cause vs. consequence)</w:t>
            </w:r>
          </w:p>
        </w:tc>
        <w:tc>
          <w:tcPr>
            <w:tcW w:type="dxa" w:w="24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sz w:val="20"/>
                <w:szCs w:val="20"/>
              </w:rPr>
              <w:t xml:space="preserve">Working</w:t>
            </w:r>
          </w:p>
        </w:tc>
      </w:tr>
      <w:tr>
        <w:tc>
          <w:tcPr>
            <w:tcW w:type="dxa" w:w="69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sz w:val="20"/>
                <w:szCs w:val="20"/>
              </w:rPr>
              <w:t xml:space="preserve">Role-based triage UI (view / comment / close / escalate)</w:t>
            </w:r>
          </w:p>
        </w:tc>
        <w:tc>
          <w:tcPr>
            <w:tcW w:type="dxa" w:w="24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sz w:val="20"/>
                <w:szCs w:val="20"/>
              </w:rPr>
              <w:t xml:space="preserve">Working</w:t>
            </w:r>
          </w:p>
        </w:tc>
      </w:tr>
      <w:tr>
        <w:tc>
          <w:tcPr>
            <w:tcW w:type="dxa" w:w="69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sz w:val="20"/>
                <w:szCs w:val="20"/>
              </w:rPr>
              <w:t xml:space="preserve">SLA reminders + auto-escalation (UI + schedulable agent)</w:t>
            </w:r>
          </w:p>
        </w:tc>
        <w:tc>
          <w:tcPr>
            <w:tcW w:type="dxa" w:w="24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sz w:val="20"/>
                <w:szCs w:val="20"/>
              </w:rPr>
              <w:t xml:space="preserve">Working</w:t>
            </w:r>
          </w:p>
        </w:tc>
      </w:tr>
      <w:tr>
        <w:tc>
          <w:tcPr>
            <w:tcW w:type="dxa" w:w="69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sz w:val="20"/>
                <w:szCs w:val="20"/>
              </w:rPr>
              <w:t xml:space="preserve">aims-sla --reset to rewind SLA state for re-demos</w:t>
            </w:r>
          </w:p>
        </w:tc>
        <w:tc>
          <w:tcPr>
            <w:tcW w:type="dxa" w:w="24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sz w:val="20"/>
                <w:szCs w:val="20"/>
              </w:rPr>
              <w:t xml:space="preserve">Working</w:t>
            </w:r>
          </w:p>
        </w:tc>
      </w:tr>
      <w:tr>
        <w:tc>
          <w:tcPr>
            <w:tcW w:type="dxa" w:w="69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sz w:val="20"/>
                <w:szCs w:val="20"/>
              </w:rPr>
              <w:t xml:space="preserve">Email notifications (Resend)</w:t>
            </w:r>
          </w:p>
        </w:tc>
        <w:tc>
          <w:tcPr>
            <w:tcW w:type="dxa" w:w="24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sz w:val="20"/>
                <w:szCs w:val="20"/>
              </w:rPr>
              <w:t xml:space="preserve">Optional — skipped if unconfigured</w:t>
            </w:r>
          </w:p>
        </w:tc>
      </w:tr>
      <w:tr>
        <w:tc>
          <w:tcPr>
            <w:tcW w:type="dxa" w:w="69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sz w:val="20"/>
                <w:szCs w:val="20"/>
              </w:rPr>
              <w:t xml:space="preserve">Azure Blob / Cosmos DB / Key Vault / ACS</w:t>
            </w:r>
          </w:p>
        </w:tc>
        <w:tc>
          <w:tcPr>
            <w:tcW w:type="dxa" w:w="24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sz w:val="20"/>
                <w:szCs w:val="20"/>
              </w:rPr>
              <w:t xml:space="preserve">Planned (Phase 1)</w:t>
            </w:r>
          </w:p>
        </w:tc>
      </w:tr>
    </w:tbl>
    <w:p>
      <w:pPr>
        <w:pStyle w:val="Heading1"/>
      </w:pPr>
      <w:r>
        <w:t xml:space="preserve">3.  Repository Structure</w:t>
      </w:r>
    </w:p>
    <w:p>
      <w:pPr>
        <w:pBdr>
          <w:top w:val="single" w:color="DDDDDD" w:sz="2" w:space="4"/>
          <w:left w:val="single" w:color="2E6DA4" w:sz="8" w:space="6"/>
          <w:bottom w:val="single" w:color="DDDDDD" w:sz="2" w:space="4"/>
          <w:right w:val="single" w:color="DDDDDD" w:sz="2" w:space="4"/>
        </w:pBdr>
        <w:shd w:fill="F4F4F4" w:val="clear"/>
        <w:spacing w:after="60" w:before="6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agentic-incident-management/</w:t>
        <w:br/>
        <w:t xml:space="preserve">|-- pyproject.toml              # deps + console scripts (aims-incident, aims-sla, ...)</w:t>
        <w:br/>
        <w:t xml:space="preserve">|-- .env.example               # copy to .env (LLM + email creds; gitignored)</w:t>
        <w:br/>
        <w:t xml:space="preserve">|-- README.md                  # user-facing setup &amp; usage</w:t>
        <w:br/>
        <w:t xml:space="preserve">|-- HANDOVER.md                # this document</w:t>
        <w:br/>
        <w:t xml:space="preserve">|-- aims/                      # the importable package</w:t>
        <w:br/>
        <w:t xml:space="preserve">|   |-- config.py              # SINGLE SOURCE OF TRUTH for paths + .env location</w:t>
        <w:br/>
        <w:t xml:space="preserve">|   |-- agents/</w:t>
        <w:br/>
        <w:t xml:space="preserve">|   |   |-- incident_management.py   # Agent 3 - deviation -&gt; incident classifier</w:t>
        <w:br/>
        <w:t xml:space="preserve">|   |   |-- root_cause.py            # Root-Cause Agent - per-run causal diagnosis</w:t>
        <w:br/>
        <w:t xml:space="preserve">|   |   |-- sla.py                   # SLA policy engine (reminders + escalation)</w:t>
        <w:br/>
        <w:t xml:space="preserve">|   |   |-- sla_runner.py            # SLA Agent - standalone/schedulable (+ --reset)</w:t>
        <w:br/>
        <w:t xml:space="preserve">|   |   |-- notifications.py         # Email notifications (Resend)</w:t>
        <w:br/>
        <w:t xml:space="preserve">|   |-- ui/</w:t>
        <w:br/>
        <w:t xml:space="preserve">|       |-- app.py             # Streamlit triage UI (5 tabs)</w:t>
        <w:br/>
        <w:t xml:space="preserve">|       |-- incident_viewer.py # Streamlit single-file incident viewer</w:t>
        <w:br/>
        <w:t xml:space="preserve">|       |-- view_incidents.py  # Terminal incident viewer</w:t>
        <w:br/>
        <w:t xml:space="preserve">|-- tests/</w:t>
        <w:br/>
        <w:t xml:space="preserve">|   |-- test_ui.py             # Playwright UI smoke test</w:t>
        <w:br/>
        <w:t xml:space="preserve">|-- data/                      # all pipeline artifacts (keyed by run_id)</w:t>
        <w:br/>
        <w:t xml:space="preserve">    |-- checklists/   RUN-102_steps.json, RUN-102_compliance_checklist.json</w:t>
        <w:br/>
        <w:t xml:space="preserve">    |-- verdicts/     RUN-10x_verdicts.json     # Agent 2 output -&gt; Agent 3 input</w:t>
        <w:br/>
        <w:t xml:space="preserve">    |-- incidents/    RUN-10x_incidents.json    # Agent 3 output (generated)</w:t>
        <w:br/>
        <w:t xml:space="preserve">    |-- diagnoses/    RUN-10x_grouped.json      # Root-Cause output (generated)</w:t>
        <w:br/>
        <w:t xml:space="preserve">    |-- tickets_db.json                         # UI state store (gitignored)</w:t>
      </w:r>
    </w:p>
    <w:p>
      <w:pPr>
        <w:pStyle w:val="Heading3"/>
      </w:pPr>
      <w:r>
        <w:t xml:space="preserve">Sample Data</w:t>
      </w:r>
    </w:p>
    <w:p>
      <w:pPr>
        <w:spacing w:after="120" w:line="276"/>
      </w:pPr>
      <w:r>
        <w:t xml:space="preserve">Runs </w:t>
      </w:r>
      <w:r>
        <w:rPr>
          <w:rFonts w:ascii="Consolas" w:cs="Consolas" w:eastAsia="Consolas" w:hAnsi="Consolas"/>
          <w:color w:val="B5005A"/>
          <w:sz w:val="19"/>
          <w:szCs w:val="19"/>
        </w:rPr>
        <w:t xml:space="preserve">RUN-102</w:t>
      </w:r>
      <w:r>
        <w:t xml:space="preserve"> … </w:t>
      </w:r>
      <w:r>
        <w:rPr>
          <w:rFonts w:ascii="Consolas" w:cs="Consolas" w:eastAsia="Consolas" w:hAnsi="Consolas"/>
          <w:color w:val="B5005A"/>
          <w:sz w:val="19"/>
          <w:szCs w:val="19"/>
        </w:rPr>
        <w:t xml:space="preserve">RUN-105</w:t>
      </w:r>
      <w:r>
        <w:t xml:space="preserve">, derived from the STEMFIE construction-set vehicle assembly manual (open-source IndustReal dataset, doc IR-MAN-001 Rev B). Deviations are drawn from its Chapter 8 documented error modes (reversed pin, wrong braces, acorn-nut-for-screw, omitted pulley / washer / wheel).</w:t>
      </w:r>
    </w:p>
    <w:p>
      <w:pPr>
        <w:pStyle w:val="Heading1"/>
      </w:pPr>
      <w:r>
        <w:t xml:space="preserve">4.  Data Flow &amp; the Pipeline</w:t>
      </w:r>
    </w:p>
    <w:p>
      <w:pPr>
        <w:pBdr>
          <w:top w:val="single" w:color="DDDDDD" w:sz="2" w:space="4"/>
          <w:left w:val="single" w:color="2E6DA4" w:sz="8" w:space="6"/>
          <w:bottom w:val="single" w:color="DDDDDD" w:sz="2" w:space="4"/>
          <w:right w:val="single" w:color="DDDDDD" w:sz="2" w:space="4"/>
        </w:pBdr>
        <w:shd w:fill="F4F4F4" w:val="clear"/>
        <w:spacing w:after="60" w:before="6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data/verdicts/RUN-10x_verdicts.json          (input, from Layer 2)</w:t>
        <w:br/>
        <w:t xml:space="preserve">        |</w:t>
        <w:br/>
        <w:t xml:space="preserve">        v  aims-incident &lt;verdicts.json&gt;</w:t>
        <w:br/>
        <w:t xml:space="preserve">   Agent 3 -----------------------------------------------+</w:t>
        <w:br/>
        <w:t xml:space="preserve">        |  - per Deviation       -&gt; LLM severity + summary | writes</w:t>
        <w:br/>
        <w:t xml:space="preserve">        |  - per Unable-to-Verify-&gt; LLM risk rating        |</w:t>
        <w:br/>
        <w:t xml:space="preserve">        v                                                  v</w:t>
        <w:br/>
        <w:t xml:space="preserve">data/incidents/RUN-10x_incidents.json          (one record per deviation /</w:t>
        <w:br/>
        <w:t xml:space="preserve">        |                                        unverifiable step)</w:t>
        <w:br/>
        <w:t xml:space="preserve">        v  (runs automatically at end of Agent 3)</w:t>
        <w:br/>
        <w:t xml:space="preserve">   Root-Cause Agent</w:t>
        <w:br/>
        <w:t xml:space="preserve">        |  - groups a run's incidents; marks root_cause vs consequence</w:t>
        <w:br/>
        <w:t xml:space="preserve">        v</w:t>
        <w:br/>
        <w:t xml:space="preserve">data/diagnoses/RUN-10x_grouped.json</w:t>
        <w:br/>
        <w:t xml:space="preserve">        |</w:t>
        <w:br/>
        <w:t xml:space="preserve">        v  streamlit run aims/ui/app.py   (first launch builds tickets_db.json)</w:t>
        <w:br/>
        <w:t xml:space="preserve">   Triage UI  &lt;---- SLA engine &lt;---- aims-sla [--fast-forward | --reset]</w:t>
        <w:br/>
        <w:t xml:space="preserve">        |</w:t>
        <w:br/>
        <w:t xml:space="preserve">        v</w:t>
        <w:br/>
        <w:t xml:space="preserve">data/tickets_db.json   (live ticket state: status, assignee, comments, history)</w:t>
      </w:r>
    </w:p>
    <w:p>
      <w:pPr>
        <w:pStyle w:val="Heading3"/>
      </w:pPr>
      <w:r>
        <w:t xml:space="preserve">Severity → Assignee Routing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F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63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F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Assigned to</w:t>
            </w:r>
          </w:p>
        </w:tc>
      </w:tr>
      <w:tr>
        <w:tc>
          <w:tcPr>
            <w:tcW w:type="dxa" w:w="3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B00020"/>
                <w:sz w:val="20"/>
                <w:szCs w:val="20"/>
              </w:rPr>
              <w:t xml:space="preserve">critical</w:t>
            </w:r>
          </w:p>
        </w:tc>
        <w:tc>
          <w:tcPr>
            <w:tcW w:type="dxa" w:w="63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Production Manager</w:t>
            </w:r>
          </w:p>
        </w:tc>
      </w:tr>
      <w:tr>
        <w:tc>
          <w:tcPr>
            <w:tcW w:type="dxa" w:w="3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C2410C"/>
                <w:sz w:val="20"/>
                <w:szCs w:val="20"/>
              </w:rPr>
              <w:t xml:space="preserve">high</w:t>
            </w:r>
          </w:p>
        </w:tc>
        <w:tc>
          <w:tcPr>
            <w:tcW w:type="dxa" w:w="63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sz w:val="20"/>
                <w:szCs w:val="20"/>
              </w:rPr>
              <w:t xml:space="preserve">QA Manager</w:t>
            </w:r>
          </w:p>
        </w:tc>
      </w:tr>
      <w:tr>
        <w:tc>
          <w:tcPr>
            <w:tcW w:type="dxa" w:w="3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63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sz w:val="20"/>
                <w:szCs w:val="20"/>
              </w:rPr>
              <w:t xml:space="preserve">Supervisor</w:t>
            </w:r>
          </w:p>
        </w:tc>
      </w:tr>
      <w:tr>
        <w:tc>
          <w:tcPr>
            <w:tcW w:type="dxa" w:w="3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low</w:t>
            </w:r>
          </w:p>
        </w:tc>
        <w:tc>
          <w:tcPr>
            <w:tcW w:type="dxa" w:w="63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sz w:val="20"/>
                <w:szCs w:val="20"/>
              </w:rPr>
              <w:t xml:space="preserve">QA Log</w:t>
            </w:r>
          </w:p>
        </w:tc>
      </w:tr>
    </w:tbl>
    <w:p>
      <w:pPr>
        <w:pStyle w:val="Heading3"/>
      </w:pPr>
      <w:r>
        <w:t xml:space="preserve">Escalation Chain</w:t>
      </w:r>
    </w:p>
    <w:p>
      <w:pPr>
        <w:spacing w:after="120" w:line="276"/>
      </w:pPr>
      <w:r>
        <w:rPr>
          <w:rFonts w:ascii="Consolas" w:cs="Consolas" w:eastAsia="Consolas" w:hAnsi="Consolas"/>
          <w:color w:val="B5005A"/>
          <w:sz w:val="19"/>
          <w:szCs w:val="19"/>
        </w:rPr>
        <w:t xml:space="preserve">QA Log</w:t>
      </w:r>
      <w:r>
        <w:t xml:space="preserve">  →  </w:t>
      </w:r>
      <w:r>
        <w:rPr>
          <w:rFonts w:ascii="Consolas" w:cs="Consolas" w:eastAsia="Consolas" w:hAnsi="Consolas"/>
          <w:color w:val="B5005A"/>
          <w:sz w:val="19"/>
          <w:szCs w:val="19"/>
        </w:rPr>
        <w:t xml:space="preserve">Supervisor</w:t>
      </w:r>
      <w:r>
        <w:t xml:space="preserve">  →  </w:t>
      </w:r>
      <w:r>
        <w:rPr>
          <w:rFonts w:ascii="Consolas" w:cs="Consolas" w:eastAsia="Consolas" w:hAnsi="Consolas"/>
          <w:color w:val="B5005A"/>
          <w:sz w:val="19"/>
          <w:szCs w:val="19"/>
        </w:rPr>
        <w:t xml:space="preserve">QA Manager</w:t>
      </w:r>
      <w:r>
        <w:t xml:space="preserve">  →  </w:t>
      </w:r>
      <w:r>
        <w:rPr>
          <w:rFonts w:ascii="Consolas" w:cs="Consolas" w:eastAsia="Consolas" w:hAnsi="Consolas"/>
          <w:color w:val="B5005A"/>
          <w:sz w:val="19"/>
          <w:szCs w:val="19"/>
        </w:rPr>
        <w:t xml:space="preserve">Production Manager</w:t>
      </w:r>
    </w:p>
    <w:p>
      <w:pPr>
        <w:pStyle w:val="Heading1"/>
      </w:pPr>
      <w:r>
        <w:t xml:space="preserve">5.  Components in Detail</w:t>
      </w:r>
    </w:p>
    <w:p>
      <w:pPr>
        <w:pStyle w:val="Heading2"/>
      </w:pPr>
      <w:r>
        <w:t xml:space="preserve">Agent 3 — Incident Management</w:t>
      </w:r>
    </w:p>
    <w:p>
      <w:pPr>
        <w:spacing w:after="120" w:line="276"/>
      </w:pPr>
      <w:r>
        <w:rPr>
          <w:rFonts w:ascii="Consolas" w:cs="Consolas" w:eastAsia="Consolas" w:hAnsi="Consolas"/>
          <w:color w:val="B5005A"/>
          <w:sz w:val="19"/>
          <w:szCs w:val="19"/>
        </w:rPr>
        <w:t xml:space="preserve">aims/agents/incident_management.py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Reads a verdicts JSON; for each </w:t>
      </w:r>
      <w:r>
        <w:rPr>
          <w:rFonts w:ascii="Consolas" w:cs="Consolas" w:eastAsia="Consolas" w:hAnsi="Consolas"/>
          <w:color w:val="B5005A"/>
          <w:sz w:val="19"/>
          <w:szCs w:val="19"/>
        </w:rPr>
        <w:t xml:space="preserve">Deviation</w:t>
      </w:r>
      <w:r>
        <w:t xml:space="preserve">, calls Azure OpenAI to produce </w:t>
      </w:r>
      <w:r>
        <w:rPr>
          <w:rFonts w:ascii="Consolas" w:cs="Consolas" w:eastAsia="Consolas" w:hAnsi="Consolas"/>
          <w:color w:val="B5005A"/>
          <w:sz w:val="19"/>
          <w:szCs w:val="19"/>
        </w:rPr>
        <w:t xml:space="preserve">{severity, severity_reason, incident_summary, recommended_action}</w:t>
      </w:r>
      <w:r>
        <w:t xml:space="preserve"> and builds a full incident record (ticket id </w:t>
      </w:r>
      <w:r>
        <w:rPr>
          <w:rFonts w:ascii="Consolas" w:cs="Consolas" w:eastAsia="Consolas" w:hAnsi="Consolas"/>
          <w:color w:val="B5005A"/>
          <w:sz w:val="19"/>
          <w:szCs w:val="19"/>
        </w:rPr>
        <w:t xml:space="preserve">INC-####</w:t>
      </w:r>
      <w:r>
        <w:t xml:space="preserve">, run/step refs, timestamp, confidence, status, assignee).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For each </w:t>
      </w:r>
      <w:r>
        <w:rPr>
          <w:rFonts w:ascii="Consolas" w:cs="Consolas" w:eastAsia="Consolas" w:hAnsi="Consolas"/>
          <w:color w:val="B5005A"/>
          <w:sz w:val="19"/>
          <w:szCs w:val="19"/>
        </w:rPr>
        <w:t xml:space="preserve">Unable to Verify</w:t>
      </w:r>
      <w:r>
        <w:t xml:space="preserve"> step, it rates the risk of leaving it unverified: </w:t>
      </w:r>
      <w:r>
        <w:rPr>
          <w:b/>
          <w:bCs/>
        </w:rPr>
        <w:t xml:space="preserve">low</w:t>
      </w:r>
      <w:r>
        <w:t xml:space="preserve"> → auto-closed (logged to QA Log); </w:t>
      </w:r>
      <w:r>
        <w:rPr>
          <w:b/>
          <w:bCs/>
        </w:rPr>
        <w:t xml:space="preserve">medium+</w:t>
      </w:r>
      <w:r>
        <w:t xml:space="preserve"> → Needs Review, routed to a human. The system never guesses compliance when evidence is missing.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Guardrail: </w:t>
      </w:r>
      <w:r>
        <w:t xml:space="preserve">every verdict is accounted for exactly once (incident, review, or compliant) — it raises on a mismatch rather than silently dropping anything.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At the end of a run it triggers the Root-Cause Agent (best-effort — a failure there never invalidates the saved incidents).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Entry points: </w:t>
      </w:r>
      <w:r>
        <w:rPr>
          <w:rFonts w:ascii="Consolas" w:cs="Consolas" w:eastAsia="Consolas" w:hAnsi="Consolas"/>
          <w:color w:val="B5005A"/>
          <w:sz w:val="19"/>
          <w:szCs w:val="19"/>
        </w:rPr>
        <w:t xml:space="preserve">run(verdicts_path)</w:t>
      </w:r>
      <w:r>
        <w:t xml:space="preserve"> (programmatic) / </w:t>
      </w:r>
      <w:r>
        <w:rPr>
          <w:rFonts w:ascii="Consolas" w:cs="Consolas" w:eastAsia="Consolas" w:hAnsi="Consolas"/>
          <w:color w:val="B5005A"/>
          <w:sz w:val="19"/>
          <w:szCs w:val="19"/>
        </w:rPr>
        <w:t xml:space="preserve">_cli()</w:t>
      </w:r>
      <w:r>
        <w:t xml:space="preserve"> (console).</w:t>
      </w:r>
    </w:p>
    <w:p>
      <w:pPr>
        <w:pStyle w:val="Heading2"/>
      </w:pPr>
      <w:r>
        <w:t xml:space="preserve">Root-Cause Agent</w:t>
      </w:r>
    </w:p>
    <w:p>
      <w:pPr>
        <w:spacing w:after="120" w:line="276"/>
      </w:pPr>
      <w:r>
        <w:rPr>
          <w:rFonts w:ascii="Consolas" w:cs="Consolas" w:eastAsia="Consolas" w:hAnsi="Consolas"/>
          <w:color w:val="B5005A"/>
          <w:sz w:val="19"/>
          <w:szCs w:val="19"/>
        </w:rPr>
        <w:t xml:space="preserve">aims/agents/root_cause.py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Reasons over all of a run's confirmed incidents at once to separate independent root causes from downstream consequences.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Bounded autonomy: read-only, guardrailed (every incident appears exactly once), every causal link carries a written rationale. Unverifiable items are excluded from the causal tree — they are unknowns, not causes.</w:t>
      </w:r>
    </w:p>
    <w:p>
      <w:pPr>
        <w:pStyle w:val="Heading2"/>
      </w:pPr>
      <w:r>
        <w:t xml:space="preserve">SLA Engine &amp; Runner</w:t>
      </w:r>
    </w:p>
    <w:p>
      <w:pPr>
        <w:spacing w:after="120" w:line="276"/>
      </w:pPr>
      <w:r>
        <w:rPr>
          <w:rFonts w:ascii="Consolas" w:cs="Consolas" w:eastAsia="Consolas" w:hAnsi="Consolas"/>
          <w:color w:val="B5005A"/>
          <w:sz w:val="19"/>
          <w:szCs w:val="19"/>
        </w:rPr>
        <w:t xml:space="preserve">aims/agents/sla.py</w:t>
      </w:r>
      <w:r>
        <w:t xml:space="preserve">  +  </w:t>
      </w:r>
      <w:r>
        <w:rPr>
          <w:rFonts w:ascii="Consolas" w:cs="Consolas" w:eastAsia="Consolas" w:hAnsi="Consolas"/>
          <w:color w:val="B5005A"/>
          <w:sz w:val="19"/>
          <w:szCs w:val="19"/>
        </w:rPr>
        <w:t xml:space="preserve">aims/agents/sla_runner.py</w:t>
      </w:r>
    </w:p>
    <w:p>
      <w:pPr>
        <w:spacing w:after="120" w:line="276"/>
      </w:pPr>
      <w:r>
        <w:rPr>
          <w:b/>
          <w:bCs/>
        </w:rPr>
        <w:t xml:space="preserve">Per-severity policy in minutes </w:t>
      </w:r>
      <w:r>
        <w:t xml:space="preserve">(remind, escalate):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F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12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F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Remind (min)</w:t>
            </w:r>
          </w:p>
        </w:tc>
        <w:tc>
          <w:tcPr>
            <w:tcW w:type="dxa" w:w="312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F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Escalate (min)</w:t>
            </w:r>
          </w:p>
        </w:tc>
      </w:tr>
      <w:tr>
        <w:tc>
          <w:tcPr>
            <w:tcW w:type="dxa" w:w="312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W w:type="dxa" w:w="312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dxa" w:w="312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312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sz w:val="20"/>
                <w:szCs w:val="20"/>
              </w:rPr>
              <w:t xml:space="preserve">120</w:t>
            </w:r>
          </w:p>
        </w:tc>
        <w:tc>
          <w:tcPr>
            <w:tcW w:type="dxa" w:w="312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sz w:val="20"/>
                <w:szCs w:val="20"/>
              </w:rPr>
              <w:t xml:space="preserve">240</w:t>
            </w:r>
          </w:p>
        </w:tc>
      </w:tr>
      <w:tr>
        <w:tc>
          <w:tcPr>
            <w:tcW w:type="dxa" w:w="312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sz w:val="20"/>
                <w:szCs w:val="20"/>
              </w:rPr>
              <w:t xml:space="preserve">720</w:t>
            </w:r>
          </w:p>
        </w:tc>
        <w:tc>
          <w:tcPr>
            <w:tcW w:type="dxa" w:w="312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sz w:val="20"/>
                <w:szCs w:val="20"/>
              </w:rPr>
              <w:t xml:space="preserve">1440</w:t>
            </w:r>
          </w:p>
        </w:tc>
      </w:tr>
      <w:tr>
        <w:tc>
          <w:tcPr>
            <w:tcW w:type="dxa" w:w="312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312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sz w:val="20"/>
                <w:szCs w:val="20"/>
              </w:rPr>
              <w:t xml:space="preserve">2160</w:t>
            </w:r>
          </w:p>
        </w:tc>
        <w:tc>
          <w:tcPr>
            <w:tcW w:type="dxa" w:w="312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sz w:val="20"/>
                <w:szCs w:val="20"/>
              </w:rPr>
              <w:t xml:space="preserve">4320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Two-stage: </w:t>
      </w:r>
      <w:r>
        <w:t xml:space="preserve">a reminder to the assignee, then auto-escalation up the chain. Idempotent (one reminder per window), auditable (every change logged as “SLA Agent (System)”), human-gated (only nudges upward; never closes a ticket or stops production).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Runs on every UI page load and as a standalone / schedulable agent.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onsolas" w:cs="Consolas" w:eastAsia="Consolas" w:hAnsi="Consolas"/>
          <w:color w:val="B5005A"/>
          <w:sz w:val="19"/>
          <w:szCs w:val="19"/>
        </w:rPr>
        <w:t xml:space="preserve">--fast-forward MIN</w:t>
      </w:r>
      <w:r>
        <w:t xml:space="preserve"> simulates elapsed time for demos; </w:t>
      </w:r>
      <w:r>
        <w:rPr>
          <w:rFonts w:ascii="Consolas" w:cs="Consolas" w:eastAsia="Consolas" w:hAnsi="Consolas"/>
          <w:color w:val="B5005A"/>
          <w:sz w:val="19"/>
          <w:szCs w:val="19"/>
        </w:rPr>
        <w:t xml:space="preserve">--reset</w:t>
      </w:r>
      <w:r>
        <w:t xml:space="preserve"> rewinds all SLA actions (see §8).</w:t>
      </w:r>
    </w:p>
    <w:p>
      <w:pPr>
        <w:pStyle w:val="Heading2"/>
      </w:pPr>
      <w:r>
        <w:t xml:space="preserve">Notifications</w:t>
      </w:r>
    </w:p>
    <w:p>
      <w:pPr>
        <w:spacing w:after="120" w:line="276"/>
      </w:pPr>
      <w:r>
        <w:rPr>
          <w:rFonts w:ascii="Consolas" w:cs="Consolas" w:eastAsia="Consolas" w:hAnsi="Consolas"/>
          <w:color w:val="B5005A"/>
          <w:sz w:val="19"/>
          <w:szCs w:val="19"/>
        </w:rPr>
        <w:t xml:space="preserve">aims/agents/notifications.py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Resend API. Functions: </w:t>
      </w:r>
      <w:r>
        <w:rPr>
          <w:rFonts w:ascii="Consolas" w:cs="Consolas" w:eastAsia="Consolas" w:hAnsi="Consolas"/>
          <w:color w:val="B5005A"/>
          <w:sz w:val="19"/>
          <w:szCs w:val="19"/>
        </w:rPr>
        <w:t xml:space="preserve">notify_ticket_created</w:t>
      </w:r>
      <w:r>
        <w:t xml:space="preserve">, </w:t>
      </w:r>
      <w:r>
        <w:rPr>
          <w:rFonts w:ascii="Consolas" w:cs="Consolas" w:eastAsia="Consolas" w:hAnsi="Consolas"/>
          <w:color w:val="B5005A"/>
          <w:sz w:val="19"/>
          <w:szCs w:val="19"/>
        </w:rPr>
        <w:t xml:space="preserve">notify_ticket_reminder</w:t>
      </w:r>
      <w:r>
        <w:t xml:space="preserve">, </w:t>
      </w:r>
      <w:r>
        <w:rPr>
          <w:rFonts w:ascii="Consolas" w:cs="Consolas" w:eastAsia="Consolas" w:hAnsi="Consolas"/>
          <w:color w:val="B5005A"/>
          <w:sz w:val="19"/>
          <w:szCs w:val="19"/>
        </w:rPr>
        <w:t xml:space="preserve">notify_ticket_escalated</w:t>
      </w:r>
      <w:r>
        <w:t xml:space="preserve">. Optional — gracefully skipped if </w:t>
      </w:r>
      <w:r>
        <w:rPr>
          <w:rFonts w:ascii="Consolas" w:cs="Consolas" w:eastAsia="Consolas" w:hAnsi="Consolas"/>
          <w:color w:val="B5005A"/>
          <w:sz w:val="19"/>
          <w:szCs w:val="19"/>
        </w:rPr>
        <w:t xml:space="preserve">RESEND_API_KEY</w:t>
      </w:r>
      <w:r>
        <w:t xml:space="preserve"> is unset.</w:t>
      </w:r>
    </w:p>
    <w:p>
      <w:pPr>
        <w:pStyle w:val="Heading2"/>
      </w:pPr>
      <w:r>
        <w:t xml:space="preserve">Triage UI</w:t>
      </w:r>
    </w:p>
    <w:p>
      <w:pPr>
        <w:spacing w:after="120" w:line="276"/>
      </w:pPr>
      <w:r>
        <w:rPr>
          <w:rFonts w:ascii="Consolas" w:cs="Consolas" w:eastAsia="Consolas" w:hAnsi="Consolas"/>
          <w:color w:val="B5005A"/>
          <w:sz w:val="19"/>
          <w:szCs w:val="19"/>
        </w:rPr>
        <w:t xml:space="preserve">aims/ui/app.py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Streamlit, role-based login. Five tabs: </w:t>
      </w:r>
      <w:r>
        <w:rPr>
          <w:b/>
          <w:bCs/>
        </w:rPr>
        <w:t xml:space="preserve">My Tickets</w:t>
      </w:r>
      <w:r>
        <w:t xml:space="preserve">, </w:t>
      </w:r>
      <w:r>
        <w:rPr>
          <w:b/>
          <w:bCs/>
        </w:rPr>
        <w:t xml:space="preserve">All Tickets</w:t>
      </w:r>
      <w:r>
        <w:t xml:space="preserve">, </w:t>
      </w:r>
      <w:r>
        <w:rPr>
          <w:b/>
          <w:bCs/>
        </w:rPr>
        <w:t xml:space="preserve">Needs Review</w:t>
      </w:r>
      <w:r>
        <w:t xml:space="preserve"> (unverifiable steps awaiting a human — Mark Compliant / Promote to Incident), </w:t>
      </w:r>
      <w:r>
        <w:rPr>
          <w:b/>
          <w:bCs/>
        </w:rPr>
        <w:t xml:space="preserve">Diagnoses</w:t>
      </w:r>
      <w:r>
        <w:t xml:space="preserve"> (per-run causal tree), and </w:t>
      </w:r>
      <w:r>
        <w:rPr>
          <w:b/>
          <w:bCs/>
        </w:rPr>
        <w:t xml:space="preserve">History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Builds / maintains </w:t>
      </w:r>
      <w:r>
        <w:rPr>
          <w:rFonts w:ascii="Consolas" w:cs="Consolas" w:eastAsia="Consolas" w:hAnsi="Consolas"/>
          <w:color w:val="B5005A"/>
          <w:sz w:val="19"/>
          <w:szCs w:val="19"/>
        </w:rPr>
        <w:t xml:space="preserve">data/tickets_db.json</w:t>
      </w:r>
      <w:r>
        <w:t xml:space="preserve"> from the incident files on launch.</w:t>
      </w:r>
    </w:p>
    <w:p>
      <w:pPr>
        <w:pStyle w:val="Heading2"/>
      </w:pPr>
      <w:r>
        <w:t xml:space="preserve">Configuration Module</w:t>
      </w:r>
    </w:p>
    <w:p>
      <w:pPr>
        <w:spacing w:after="120" w:line="276"/>
      </w:pPr>
      <w:r>
        <w:rPr>
          <w:rFonts w:ascii="Consolas" w:cs="Consolas" w:eastAsia="Consolas" w:hAnsi="Consolas"/>
          <w:color w:val="B5005A"/>
          <w:sz w:val="19"/>
          <w:szCs w:val="19"/>
        </w:rPr>
        <w:t xml:space="preserve">aims/config.py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The single source of truth for on-disk locations (</w:t>
      </w:r>
      <w:r>
        <w:rPr>
          <w:rFonts w:ascii="Consolas" w:cs="Consolas" w:eastAsia="Consolas" w:hAnsi="Consolas"/>
          <w:color w:val="B5005A"/>
          <w:sz w:val="19"/>
          <w:szCs w:val="19"/>
        </w:rPr>
        <w:t xml:space="preserve">DATA_DIR</w:t>
      </w:r>
      <w:r>
        <w:t xml:space="preserve">, </w:t>
      </w:r>
      <w:r>
        <w:rPr>
          <w:rFonts w:ascii="Consolas" w:cs="Consolas" w:eastAsia="Consolas" w:hAnsi="Consolas"/>
          <w:color w:val="B5005A"/>
          <w:sz w:val="19"/>
          <w:szCs w:val="19"/>
        </w:rPr>
        <w:t xml:space="preserve">VERDICTS_DIR</w:t>
      </w:r>
      <w:r>
        <w:t xml:space="preserve">, </w:t>
      </w:r>
      <w:r>
        <w:rPr>
          <w:rFonts w:ascii="Consolas" w:cs="Consolas" w:eastAsia="Consolas" w:hAnsi="Consolas"/>
          <w:color w:val="B5005A"/>
          <w:sz w:val="19"/>
          <w:szCs w:val="19"/>
        </w:rPr>
        <w:t xml:space="preserve">INCIDENTS_DIR</w:t>
      </w:r>
      <w:r>
        <w:t xml:space="preserve">, </w:t>
      </w:r>
      <w:r>
        <w:rPr>
          <w:rFonts w:ascii="Consolas" w:cs="Consolas" w:eastAsia="Consolas" w:hAnsi="Consolas"/>
          <w:color w:val="B5005A"/>
          <w:sz w:val="19"/>
          <w:szCs w:val="19"/>
        </w:rPr>
        <w:t xml:space="preserve">DIAGNOSES_DIR</w:t>
      </w:r>
      <w:r>
        <w:t xml:space="preserve">, </w:t>
      </w:r>
      <w:r>
        <w:rPr>
          <w:rFonts w:ascii="Consolas" w:cs="Consolas" w:eastAsia="Consolas" w:hAnsi="Consolas"/>
          <w:color w:val="B5005A"/>
          <w:sz w:val="19"/>
          <w:szCs w:val="19"/>
        </w:rPr>
        <w:t xml:space="preserve">TICKETS_DB</w:t>
      </w:r>
      <w:r>
        <w:t xml:space="preserve">) and </w:t>
      </w:r>
      <w:r>
        <w:rPr>
          <w:rFonts w:ascii="Consolas" w:cs="Consolas" w:eastAsia="Consolas" w:hAnsi="Consolas"/>
          <w:color w:val="B5005A"/>
          <w:sz w:val="19"/>
          <w:szCs w:val="19"/>
        </w:rPr>
        <w:t xml:space="preserve">ENV_FILE</w:t>
      </w:r>
      <w:r>
        <w:t xml:space="preserve">. Every module imports from here — </w:t>
      </w:r>
      <w:r>
        <w:rPr>
          <w:b/>
          <w:bCs/>
        </w:rPr>
        <w:t xml:space="preserve">do not hard-code paths elsewhere.</w:t>
      </w:r>
    </w:p>
    <w:p>
      <w:pPr>
        <w:pStyle w:val="Heading1"/>
      </w:pPr>
      <w:r>
        <w:t xml:space="preserve">6.  Data Model (Key Schemas)</w:t>
      </w:r>
    </w:p>
    <w:p>
      <w:pPr>
        <w:pStyle w:val="Heading3"/>
      </w:pPr>
      <w:r>
        <w:t xml:space="preserve">Incident record</w:t>
      </w:r>
    </w:p>
    <w:p>
      <w:pPr>
        <w:spacing w:after="120" w:line="276"/>
      </w:pPr>
      <w:r>
        <w:rPr>
          <w:rFonts w:ascii="Consolas" w:cs="Consolas" w:eastAsia="Consolas" w:hAnsi="Consolas"/>
          <w:color w:val="B5005A"/>
          <w:sz w:val="19"/>
          <w:szCs w:val="19"/>
        </w:rPr>
        <w:t xml:space="preserve">data/incidents/*.json</w:t>
      </w:r>
      <w:r>
        <w:t xml:space="preserve">  →  </w:t>
      </w:r>
      <w:r>
        <w:rPr>
          <w:rFonts w:ascii="Consolas" w:cs="Consolas" w:eastAsia="Consolas" w:hAnsi="Consolas"/>
          <w:color w:val="B5005A"/>
          <w:sz w:val="19"/>
          <w:szCs w:val="19"/>
        </w:rPr>
        <w:t xml:space="preserve">incidents[]</w:t>
      </w:r>
    </w:p>
    <w:p>
      <w:pPr>
        <w:pBdr>
          <w:top w:val="single" w:color="DDDDDD" w:sz="2" w:space="4"/>
          <w:left w:val="single" w:color="2E6DA4" w:sz="8" w:space="6"/>
          <w:bottom w:val="single" w:color="DDDDDD" w:sz="2" w:space="4"/>
          <w:right w:val="single" w:color="DDDDDD" w:sz="2" w:space="4"/>
        </w:pBdr>
        <w:shd w:fill="F4F4F4" w:val="clear"/>
        <w:spacing w:after="60" w:before="6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ticket_id, run_id, step_id, sequence_position, section, sop_step,</w:t>
        <w:br/>
        <w:t xml:space="preserve">verdict ("Deviation" | "Unable to Verify"), timestamp, confidence,</w:t>
        <w:br/>
        <w:t xml:space="preserve">severity, severity_reason, incident_summary, recommended_action,</w:t>
        <w:br/>
        <w:t xml:space="preserve">status, assigned_to, created_at [, comments, history]   # last two on review records</w:t>
      </w:r>
    </w:p>
    <w:p>
      <w:pPr>
        <w:pStyle w:val="Heading3"/>
      </w:pPr>
      <w:r>
        <w:t xml:space="preserve">Ticket</w:t>
      </w:r>
    </w:p>
    <w:p>
      <w:pPr>
        <w:spacing w:after="120" w:line="276"/>
      </w:pPr>
      <w:r>
        <w:rPr>
          <w:rFonts w:ascii="Consolas" w:cs="Consolas" w:eastAsia="Consolas" w:hAnsi="Consolas"/>
          <w:color w:val="B5005A"/>
          <w:sz w:val="19"/>
          <w:szCs w:val="19"/>
        </w:rPr>
        <w:t xml:space="preserve">data/tickets_db.json</w:t>
      </w:r>
      <w:r>
        <w:t xml:space="preserve">, keyed by </w:t>
      </w:r>
      <w:r>
        <w:rPr>
          <w:rFonts w:ascii="Consolas" w:cs="Consolas" w:eastAsia="Consolas" w:hAnsi="Consolas"/>
          <w:color w:val="B5005A"/>
          <w:sz w:val="19"/>
          <w:szCs w:val="19"/>
        </w:rPr>
        <w:t xml:space="preserve">"{run_id}__{ticket_id}"</w:t>
      </w:r>
    </w:p>
    <w:p>
      <w:pPr>
        <w:spacing w:after="120" w:line="276"/>
      </w:pPr>
      <w:r>
        <w:t xml:space="preserve">The incident record </w:t>
      </w:r>
      <w:r>
        <w:rPr>
          <w:b/>
          <w:bCs/>
        </w:rPr>
        <w:t xml:space="preserve">plus</w:t>
      </w:r>
      <w:r>
        <w:t xml:space="preserve"> live state — </w:t>
      </w:r>
      <w:r>
        <w:rPr>
          <w:rFonts w:ascii="Consolas" w:cs="Consolas" w:eastAsia="Consolas" w:hAnsi="Consolas"/>
          <w:color w:val="B5005A"/>
          <w:sz w:val="19"/>
          <w:szCs w:val="19"/>
        </w:rPr>
        <w:t xml:space="preserve">comments[]</w:t>
      </w:r>
      <w:r>
        <w:t xml:space="preserve">, </w:t>
      </w:r>
      <w:r>
        <w:rPr>
          <w:rFonts w:ascii="Consolas" w:cs="Consolas" w:eastAsia="Consolas" w:hAnsi="Consolas"/>
          <w:color w:val="B5005A"/>
          <w:sz w:val="19"/>
          <w:szCs w:val="19"/>
        </w:rPr>
        <w:t xml:space="preserve">history[]</w:t>
      </w:r>
      <w:r>
        <w:t xml:space="preserve">, and the SLA fields </w:t>
      </w:r>
      <w:r>
        <w:rPr>
          <w:rFonts w:ascii="Consolas" w:cs="Consolas" w:eastAsia="Consolas" w:hAnsi="Consolas"/>
          <w:color w:val="B5005A"/>
          <w:sz w:val="19"/>
          <w:szCs w:val="19"/>
        </w:rPr>
        <w:t xml:space="preserve">sla_window_started_at</w:t>
      </w:r>
      <w:r>
        <w:t xml:space="preserve">, </w:t>
      </w:r>
      <w:r>
        <w:rPr>
          <w:rFonts w:ascii="Consolas" w:cs="Consolas" w:eastAsia="Consolas" w:hAnsi="Consolas"/>
          <w:color w:val="B5005A"/>
          <w:sz w:val="19"/>
          <w:szCs w:val="19"/>
        </w:rPr>
        <w:t xml:space="preserve">reminder_sent_at</w:t>
      </w:r>
      <w:r>
        <w:t xml:space="preserve">, </w:t>
      </w:r>
      <w:r>
        <w:rPr>
          <w:rFonts w:ascii="Consolas" w:cs="Consolas" w:eastAsia="Consolas" w:hAnsi="Consolas"/>
          <w:color w:val="B5005A"/>
          <w:sz w:val="19"/>
          <w:szCs w:val="19"/>
        </w:rPr>
        <w:t xml:space="preserve">escalation_count</w:t>
      </w:r>
      <w:r>
        <w:t xml:space="preserve">.</w:t>
      </w:r>
    </w:p>
    <w:p>
      <w:pPr>
        <w:pStyle w:val="Heading3"/>
      </w:pPr>
      <w:r>
        <w:t xml:space="preserve">Diagnosis</w:t>
      </w:r>
    </w:p>
    <w:p>
      <w:pPr>
        <w:spacing w:after="120" w:line="276"/>
      </w:pPr>
      <w:r>
        <w:rPr>
          <w:rFonts w:ascii="Consolas" w:cs="Consolas" w:eastAsia="Consolas" w:hAnsi="Consolas"/>
          <w:color w:val="B5005A"/>
          <w:sz w:val="19"/>
          <w:szCs w:val="19"/>
        </w:rPr>
        <w:t xml:space="preserve">data/diagnoses/*.json</w:t>
      </w:r>
    </w:p>
    <w:p>
      <w:pPr>
        <w:spacing w:after="120" w:line="276"/>
      </w:pPr>
      <w:r>
        <w:rPr>
          <w:rFonts w:ascii="Consolas" w:cs="Consolas" w:eastAsia="Consolas" w:hAnsi="Consolas"/>
          <w:color w:val="B5005A"/>
          <w:sz w:val="19"/>
          <w:szCs w:val="19"/>
        </w:rPr>
        <w:t xml:space="preserve">diagnosis</w:t>
      </w:r>
      <w:r>
        <w:t xml:space="preserve">, </w:t>
      </w:r>
      <w:r>
        <w:rPr>
          <w:rFonts w:ascii="Consolas" w:cs="Consolas" w:eastAsia="Consolas" w:hAnsi="Consolas"/>
          <w:color w:val="B5005A"/>
          <w:sz w:val="19"/>
          <w:szCs w:val="19"/>
        </w:rPr>
        <w:t xml:space="preserve">groups[]</w:t>
      </w:r>
      <w:r>
        <w:t xml:space="preserve"> each with </w:t>
      </w:r>
      <w:r>
        <w:rPr>
          <w:rFonts w:ascii="Consolas" w:cs="Consolas" w:eastAsia="Consolas" w:hAnsi="Consolas"/>
          <w:color w:val="B5005A"/>
          <w:sz w:val="19"/>
          <w:szCs w:val="19"/>
        </w:rPr>
        <w:t xml:space="preserve">label</w:t>
      </w:r>
      <w:r>
        <w:t xml:space="preserve">, </w:t>
      </w:r>
      <w:r>
        <w:rPr>
          <w:rFonts w:ascii="Consolas" w:cs="Consolas" w:eastAsia="Consolas" w:hAnsi="Consolas"/>
          <w:color w:val="B5005A"/>
          <w:sz w:val="19"/>
          <w:szCs w:val="19"/>
        </w:rPr>
        <w:t xml:space="preserve">root_cause_tickets[]</w:t>
      </w:r>
      <w:r>
        <w:t xml:space="preserve">, and </w:t>
      </w:r>
      <w:r>
        <w:rPr>
          <w:rFonts w:ascii="Consolas" w:cs="Consolas" w:eastAsia="Consolas" w:hAnsi="Consolas"/>
          <w:color w:val="B5005A"/>
          <w:sz w:val="19"/>
          <w:szCs w:val="19"/>
        </w:rPr>
        <w:t xml:space="preserve">members[]</w:t>
      </w:r>
      <w:r>
        <w:t xml:space="preserve"> (</w:t>
      </w:r>
      <w:r>
        <w:rPr>
          <w:rFonts w:ascii="Consolas" w:cs="Consolas" w:eastAsia="Consolas" w:hAnsi="Consolas"/>
          <w:color w:val="B5005A"/>
          <w:sz w:val="19"/>
          <w:szCs w:val="19"/>
        </w:rPr>
        <w:t xml:space="preserve">role</w:t>
      </w:r>
      <w:r>
        <w:t xml:space="preserve">, </w:t>
      </w:r>
      <w:r>
        <w:rPr>
          <w:rFonts w:ascii="Consolas" w:cs="Consolas" w:eastAsia="Consolas" w:hAnsi="Consolas"/>
          <w:color w:val="B5005A"/>
          <w:sz w:val="19"/>
          <w:szCs w:val="19"/>
        </w:rPr>
        <w:t xml:space="preserve">caused_by[]</w:t>
      </w:r>
      <w:r>
        <w:t xml:space="preserve">, </w:t>
      </w:r>
      <w:r>
        <w:rPr>
          <w:rFonts w:ascii="Consolas" w:cs="Consolas" w:eastAsia="Consolas" w:hAnsi="Consolas"/>
          <w:color w:val="B5005A"/>
          <w:sz w:val="19"/>
          <w:szCs w:val="19"/>
        </w:rPr>
        <w:t xml:space="preserve">reason</w:t>
      </w:r>
      <w:r>
        <w:t xml:space="preserve">).</w:t>
      </w:r>
    </w:p>
    <w:p>
      <w:pPr>
        <w:pStyle w:val="Heading1"/>
      </w:pPr>
      <w:r>
        <w:t xml:space="preserve">7.  Setup &amp; Run</w:t>
      </w:r>
    </w:p>
    <w:p>
      <w:pPr>
        <w:spacing w:after="120" w:line="276"/>
      </w:pPr>
      <w:r>
        <w:t xml:space="preserve">Requires </w:t>
      </w:r>
      <w:r>
        <w:rPr>
          <w:b/>
          <w:bCs/>
        </w:rPr>
        <w:t xml:space="preserve">Python 3.10+</w:t>
      </w:r>
      <w:r>
        <w:t xml:space="preserve"> (see §8 for the 3.9 caveat).</w:t>
      </w:r>
    </w:p>
    <w:p>
      <w:pPr>
        <w:pStyle w:val="Heading3"/>
      </w:pPr>
      <w:r>
        <w:t xml:space="preserve">1.  Install the package, deps &amp; console commands</w:t>
      </w:r>
    </w:p>
    <w:p>
      <w:pPr>
        <w:pBdr>
          <w:top w:val="single" w:color="DDDDDD" w:sz="2" w:space="4"/>
          <w:left w:val="single" w:color="2E6DA4" w:sz="8" w:space="6"/>
          <w:bottom w:val="single" w:color="DDDDDD" w:sz="2" w:space="4"/>
          <w:right w:val="single" w:color="DDDDDD" w:sz="2" w:space="4"/>
        </w:pBdr>
        <w:shd w:fill="F4F4F4" w:val="clear"/>
        <w:spacing w:after="60" w:before="6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pip install -e .</w:t>
        <w:br/>
        <w:t xml:space="preserve">#  (UI test extra: pip install -e ".[test]")</w:t>
      </w:r>
    </w:p>
    <w:p>
      <w:pPr>
        <w:pStyle w:val="Heading3"/>
      </w:pPr>
      <w:r>
        <w:t xml:space="preserve">2.  Configure credentials</w:t>
      </w:r>
    </w:p>
    <w:p>
      <w:pPr>
        <w:pBdr>
          <w:top w:val="single" w:color="DDDDDD" w:sz="2" w:space="4"/>
          <w:left w:val="single" w:color="2E6DA4" w:sz="8" w:space="6"/>
          <w:bottom w:val="single" w:color="DDDDDD" w:sz="2" w:space="4"/>
          <w:right w:val="single" w:color="DDDDDD" w:sz="2" w:space="4"/>
        </w:pBdr>
        <w:shd w:fill="F4F4F4" w:val="clear"/>
        <w:spacing w:after="60" w:before="6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cp .env.example .env       # then edit - see section 9</w:t>
      </w:r>
    </w:p>
    <w:p>
      <w:pPr>
        <w:pStyle w:val="Heading3"/>
      </w:pPr>
      <w:r>
        <w:t xml:space="preserve">3.  Run everything from the repo root</w:t>
      </w:r>
    </w:p>
    <w:p>
      <w:pPr>
        <w:pBdr>
          <w:top w:val="single" w:color="DDDDDD" w:sz="2" w:space="4"/>
          <w:left w:val="single" w:color="2E6DA4" w:sz="8" w:space="6"/>
          <w:bottom w:val="single" w:color="DDDDDD" w:sz="2" w:space="4"/>
          <w:right w:val="single" w:color="DDDDDD" w:sz="2" w:space="4"/>
        </w:pBdr>
        <w:shd w:fill="F4F4F4" w:val="clear"/>
        <w:spacing w:after="60" w:before="6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Generate incidents (+ auto root-cause) from a verdicts file</w:t>
        <w:br/>
        <w:t xml:space="preserve">aims-incident data/verdicts/RUN-103_verdicts.json</w:t>
        <w:br/>
        <w:t xml:space="preserve"/>
        <w:br/>
        <w:t xml:space="preserve"># (Re)generate only the diagnosis for an existing incidents file</w:t>
        <w:br/>
        <w:t xml:space="preserve">aims-root-cause data/incidents/RUN-103_incidents.json</w:t>
        <w:br/>
        <w:t xml:space="preserve"/>
        <w:br/>
        <w:t xml:space="preserve"># Terminal incident view</w:t>
        <w:br/>
        <w:t xml:space="preserve">aims-view data/incidents/RUN-103_incidents.json</w:t>
        <w:br/>
        <w:t xml:space="preserve"/>
        <w:br/>
        <w:t xml:space="preserve"># Launch the triage UI</w:t>
        <w:br/>
        <w:t xml:space="preserve">streamlit run aims/ui/app.py            # http://localhost:8501</w:t>
        <w:br/>
        <w:t xml:space="preserve"/>
        <w:br/>
        <w:t xml:space="preserve"># SLA agent</w:t>
        <w:br/>
        <w:t xml:space="preserve">aims-sla                                # evaluate against the real clock</w:t>
        <w:br/>
        <w:t xml:space="preserve">aims-sla --fast-forward 300             # demo: simulate 300 min elapsed</w:t>
        <w:br/>
        <w:t xml:space="preserve">aims-sla --reset                        # rewind all SLA actions</w:t>
      </w:r>
    </w:p>
    <w:p>
      <w:pPr>
        <w:spacing w:after="120" w:line="276"/>
      </w:pPr>
      <w:r>
        <w:t xml:space="preserve">Every console command has a module equivalent, e.g. </w:t>
      </w:r>
      <w:r>
        <w:rPr>
          <w:rFonts w:ascii="Consolas" w:cs="Consolas" w:eastAsia="Consolas" w:hAnsi="Consolas"/>
          <w:color w:val="B5005A"/>
          <w:sz w:val="19"/>
          <w:szCs w:val="19"/>
        </w:rPr>
        <w:t xml:space="preserve">python3 -m aims.agents.sla_runner --reset</w:t>
      </w:r>
      <w:r>
        <w:t xml:space="preserve">.</w:t>
      </w:r>
    </w:p>
    <w:p>
      <w:pPr>
        <w:pStyle w:val="Heading3"/>
      </w:pPr>
      <w:r>
        <w:t xml:space="preserve">Demo logins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F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Username / password</w:t>
            </w:r>
          </w:p>
        </w:tc>
        <w:tc>
          <w:tcPr>
            <w:tcW w:type="dxa" w:w="53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F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4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005A"/>
                <w:sz w:val="19"/>
                <w:szCs w:val="19"/>
              </w:rPr>
              <w:t xml:space="preserve">alice / alice</w:t>
            </w:r>
          </w:p>
        </w:tc>
        <w:tc>
          <w:tcPr>
            <w:tcW w:type="dxa" w:w="53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Production Manager</w:t>
            </w:r>
          </w:p>
        </w:tc>
      </w:tr>
      <w:tr>
        <w:tc>
          <w:tcPr>
            <w:tcW w:type="dxa" w:w="4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005A"/>
                <w:sz w:val="19"/>
                <w:szCs w:val="19"/>
              </w:rPr>
              <w:t xml:space="preserve">bob / bob</w:t>
            </w:r>
          </w:p>
        </w:tc>
        <w:tc>
          <w:tcPr>
            <w:tcW w:type="dxa" w:w="53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sz w:val="20"/>
                <w:szCs w:val="20"/>
              </w:rPr>
              <w:t xml:space="preserve">QA Manager</w:t>
            </w:r>
          </w:p>
        </w:tc>
      </w:tr>
      <w:tr>
        <w:tc>
          <w:tcPr>
            <w:tcW w:type="dxa" w:w="4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005A"/>
                <w:sz w:val="19"/>
                <w:szCs w:val="19"/>
              </w:rPr>
              <w:t xml:space="preserve">carol / carol</w:t>
            </w:r>
          </w:p>
        </w:tc>
        <w:tc>
          <w:tcPr>
            <w:tcW w:type="dxa" w:w="53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sz w:val="20"/>
                <w:szCs w:val="20"/>
              </w:rPr>
              <w:t xml:space="preserve">Supervisor</w:t>
            </w:r>
          </w:p>
        </w:tc>
      </w:tr>
      <w:tr>
        <w:tc>
          <w:tcPr>
            <w:tcW w:type="dxa" w:w="4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color w:val="B5005A"/>
                <w:sz w:val="19"/>
                <w:szCs w:val="19"/>
              </w:rPr>
              <w:t xml:space="preserve">dave / dave</w:t>
            </w:r>
          </w:p>
        </w:tc>
        <w:tc>
          <w:tcPr>
            <w:tcW w:type="dxa" w:w="53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sz w:val="20"/>
                <w:szCs w:val="20"/>
              </w:rPr>
              <w:t xml:space="preserve">QA Log</w:t>
            </w:r>
          </w:p>
        </w:tc>
      </w:tr>
    </w:tbl>
    <w:p>
      <w:pPr>
        <w:pStyle w:val="Heading1"/>
      </w:pPr>
      <w:r>
        <w:t xml:space="preserve">8.  Operational Notes &amp; Gotchas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Python 3.9 vs 3.10+. </w:t>
      </w:r>
      <w:r>
        <w:t xml:space="preserve">The repo targets 3.10+. </w:t>
      </w:r>
      <w:r>
        <w:rPr>
          <w:rFonts w:ascii="Consolas" w:cs="Consolas" w:eastAsia="Consolas" w:hAnsi="Consolas"/>
          <w:color w:val="B5005A"/>
          <w:sz w:val="19"/>
          <w:szCs w:val="19"/>
        </w:rPr>
        <w:t xml:space="preserve">sla.py</w:t>
      </w:r>
      <w:r>
        <w:t xml:space="preserve"> carries </w:t>
      </w:r>
      <w:r>
        <w:rPr>
          <w:rFonts w:ascii="Consolas" w:cs="Consolas" w:eastAsia="Consolas" w:hAnsi="Consolas"/>
          <w:color w:val="B5005A"/>
          <w:sz w:val="19"/>
          <w:szCs w:val="19"/>
        </w:rPr>
        <w:t xml:space="preserve">from __future__ import annotations</w:t>
      </w:r>
      <w:r>
        <w:t xml:space="preserve"> so its </w:t>
      </w:r>
      <w:r>
        <w:rPr>
          <w:rFonts w:ascii="Consolas" w:cs="Consolas" w:eastAsia="Consolas" w:hAnsi="Consolas"/>
          <w:color w:val="B5005A"/>
          <w:sz w:val="19"/>
          <w:szCs w:val="19"/>
        </w:rPr>
        <w:t xml:space="preserve">X | None</w:t>
      </w:r>
      <w:r>
        <w:t xml:space="preserve"> hints parse on 3.9 too, but using a 3.10+ interpreter (or a venv) is the durable fix if you add more modern syntax elsewhere.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Streamlit + the package. </w:t>
      </w:r>
      <w:r>
        <w:rPr>
          <w:rFonts w:ascii="Consolas" w:cs="Consolas" w:eastAsia="Consolas" w:hAnsi="Consolas"/>
          <w:color w:val="B5005A"/>
          <w:sz w:val="19"/>
          <w:szCs w:val="19"/>
        </w:rPr>
        <w:t xml:space="preserve">app.py</w:t>
      </w:r>
      <w:r>
        <w:t xml:space="preserve"> and </w:t>
      </w:r>
      <w:r>
        <w:rPr>
          <w:rFonts w:ascii="Consolas" w:cs="Consolas" w:eastAsia="Consolas" w:hAnsi="Consolas"/>
          <w:color w:val="B5005A"/>
          <w:sz w:val="19"/>
          <w:szCs w:val="19"/>
        </w:rPr>
        <w:t xml:space="preserve">incident_viewer.py</w:t>
      </w:r>
      <w:r>
        <w:t xml:space="preserve"> each add the repo root to </w:t>
      </w:r>
      <w:r>
        <w:rPr>
          <w:rFonts w:ascii="Consolas" w:cs="Consolas" w:eastAsia="Consolas" w:hAnsi="Consolas"/>
          <w:color w:val="B5005A"/>
          <w:sz w:val="19"/>
          <w:szCs w:val="19"/>
        </w:rPr>
        <w:t xml:space="preserve">sys.path</w:t>
      </w:r>
      <w:r>
        <w:t xml:space="preserve"> at the top, so </w:t>
      </w:r>
      <w:r>
        <w:rPr>
          <w:rFonts w:ascii="Consolas" w:cs="Consolas" w:eastAsia="Consolas" w:hAnsi="Consolas"/>
          <w:color w:val="B5005A"/>
          <w:sz w:val="19"/>
          <w:szCs w:val="19"/>
        </w:rPr>
        <w:t xml:space="preserve">streamlit run …</w:t>
      </w:r>
      <w:r>
        <w:t xml:space="preserve"> works with or without </w:t>
      </w:r>
      <w:r>
        <w:rPr>
          <w:rFonts w:ascii="Consolas" w:cs="Consolas" w:eastAsia="Consolas" w:hAnsi="Consolas"/>
          <w:color w:val="B5005A"/>
          <w:sz w:val="19"/>
          <w:szCs w:val="19"/>
        </w:rPr>
        <w:t xml:space="preserve">pip install -e .</w:t>
      </w:r>
      <w:r>
        <w:t xml:space="preserve">. The agent modules use clean package imports and rely on the install (or </w:t>
      </w:r>
      <w:r>
        <w:rPr>
          <w:rFonts w:ascii="Consolas" w:cs="Consolas" w:eastAsia="Consolas" w:hAnsi="Consolas"/>
          <w:color w:val="B5005A"/>
          <w:sz w:val="19"/>
          <w:szCs w:val="19"/>
        </w:rPr>
        <w:t xml:space="preserve">python -m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tickets_db.json is sticky. </w:t>
      </w:r>
      <w:r>
        <w:t xml:space="preserve">Deleting </w:t>
      </w:r>
      <w:r>
        <w:rPr>
          <w:rFonts w:ascii="Consolas" w:cs="Consolas" w:eastAsia="Consolas" w:hAnsi="Consolas"/>
          <w:color w:val="B5005A"/>
          <w:sz w:val="19"/>
          <w:szCs w:val="19"/>
        </w:rPr>
        <w:t xml:space="preserve">data/incidents/*.json</w:t>
      </w:r>
      <w:r>
        <w:t xml:space="preserve"> does not clear the UI store. To start fully clean, also delete </w:t>
      </w:r>
      <w:r>
        <w:rPr>
          <w:rFonts w:ascii="Consolas" w:cs="Consolas" w:eastAsia="Consolas" w:hAnsi="Consolas"/>
          <w:color w:val="B5005A"/>
          <w:sz w:val="19"/>
          <w:szCs w:val="19"/>
        </w:rPr>
        <w:t xml:space="preserve">data/tickets_db.json</w:t>
      </w:r>
      <w:r>
        <w:t xml:space="preserve"> (it is gitignored and rebuilds from the incident files on next launch).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Sample data is dated (2026-06-22). </w:t>
      </w:r>
      <w:r>
        <w:t xml:space="preserve">Because the UI evaluates SLA against the real clock on every load, week-old sample tickets will escalate immediately. To rewind to a clean SLA slate, run </w:t>
      </w:r>
      <w:r>
        <w:rPr>
          <w:rFonts w:ascii="Consolas" w:cs="Consolas" w:eastAsia="Consolas" w:hAnsi="Consolas"/>
          <w:color w:val="B5005A"/>
          <w:sz w:val="19"/>
          <w:szCs w:val="19"/>
        </w:rPr>
        <w:t xml:space="preserve">aims-sla --reset</w:t>
      </w:r>
      <w:r>
        <w:t xml:space="preserve"> — it restarts each ticket's SLA clock from now and restores the original status/assignee from the incident files, while keeping comments/triage. A plain </w:t>
      </w:r>
      <w:r>
        <w:rPr>
          <w:rFonts w:ascii="Consolas" w:cs="Consolas" w:eastAsia="Consolas" w:hAnsi="Consolas"/>
          <w:color w:val="B5005A"/>
          <w:sz w:val="19"/>
          <w:szCs w:val="19"/>
        </w:rPr>
        <w:t xml:space="preserve">tickets_db.json</w:t>
      </w:r>
      <w:r>
        <w:t xml:space="preserve"> wipe does not achieve this — it re-fires on first load.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Gitignored local state: </w:t>
      </w:r>
      <w:r>
        <w:rPr>
          <w:rFonts w:ascii="Consolas" w:cs="Consolas" w:eastAsia="Consolas" w:hAnsi="Consolas"/>
          <w:color w:val="B5005A"/>
          <w:sz w:val="19"/>
          <w:szCs w:val="19"/>
        </w:rPr>
        <w:t xml:space="preserve">.env</w:t>
      </w:r>
      <w:r>
        <w:t xml:space="preserve">, </w:t>
      </w:r>
      <w:r>
        <w:rPr>
          <w:rFonts w:ascii="Consolas" w:cs="Consolas" w:eastAsia="Consolas" w:hAnsi="Consolas"/>
          <w:color w:val="B5005A"/>
          <w:sz w:val="19"/>
          <w:szCs w:val="19"/>
        </w:rPr>
        <w:t xml:space="preserve">data/tickets_db.json</w:t>
      </w:r>
      <w:r>
        <w:t xml:space="preserve">, build artifacts, and </w:t>
      </w:r>
      <w:r>
        <w:rPr>
          <w:rFonts w:ascii="Consolas" w:cs="Consolas" w:eastAsia="Consolas" w:hAnsi="Consolas"/>
          <w:color w:val="B5005A"/>
          <w:sz w:val="19"/>
          <w:szCs w:val="19"/>
        </w:rPr>
        <w:t xml:space="preserve">screenshot_*.png</w:t>
      </w:r>
      <w:r>
        <w:t xml:space="preserve"> (Playwright). Never commit </w:t>
      </w:r>
      <w:r>
        <w:rPr>
          <w:rFonts w:ascii="Consolas" w:cs="Consolas" w:eastAsia="Consolas" w:hAnsi="Consolas"/>
          <w:color w:val="B5005A"/>
          <w:sz w:val="19"/>
          <w:szCs w:val="19"/>
        </w:rPr>
        <w:t xml:space="preserve">.env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LLM cost / latency: </w:t>
      </w:r>
      <w:r>
        <w:t xml:space="preserve">Agent 3 and Root-Cause each make per-item Azure OpenAI calls. Re-running </w:t>
      </w:r>
      <w:r>
        <w:rPr>
          <w:rFonts w:ascii="Consolas" w:cs="Consolas" w:eastAsia="Consolas" w:hAnsi="Consolas"/>
          <w:color w:val="B5005A"/>
          <w:sz w:val="19"/>
          <w:szCs w:val="19"/>
        </w:rPr>
        <w:t xml:space="preserve">aims-incident</w:t>
      </w:r>
      <w:r>
        <w:t xml:space="preserve"> on the same verdicts regenerates the files.</w:t>
      </w:r>
    </w:p>
    <w:p>
      <w:pPr>
        <w:pStyle w:val="Heading1"/>
      </w:pPr>
      <w:r>
        <w:t xml:space="preserve">9.  Configuration (.env)</w:t>
      </w:r>
    </w:p>
    <w:p>
      <w:pPr>
        <w:spacing w:after="120" w:line="276"/>
      </w:pPr>
      <w:r>
        <w:t xml:space="preserve">Copied from </w:t>
      </w:r>
      <w:r>
        <w:rPr>
          <w:rFonts w:ascii="Consolas" w:cs="Consolas" w:eastAsia="Consolas" w:hAnsi="Consolas"/>
          <w:color w:val="B5005A"/>
          <w:sz w:val="19"/>
          <w:szCs w:val="19"/>
        </w:rPr>
        <w:t xml:space="preserve">.env.example</w:t>
      </w:r>
      <w:r>
        <w:t xml:space="preserve"> at the repo root (gitignored). Keys:</w:t>
      </w:r>
    </w:p>
    <w:p>
      <w:pPr>
        <w:pBdr>
          <w:top w:val="single" w:color="DDDDDD" w:sz="2" w:space="4"/>
          <w:left w:val="single" w:color="2E6DA4" w:sz="8" w:space="6"/>
          <w:bottom w:val="single" w:color="DDDDDD" w:sz="2" w:space="4"/>
          <w:right w:val="single" w:color="DDDDDD" w:sz="2" w:space="4"/>
        </w:pBdr>
        <w:shd w:fill="F4F4F4" w:val="clear"/>
        <w:spacing w:after="60" w:before="6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Azure OpenAI (required for Agent 3 + Root-Cause)</w:t>
        <w:br/>
        <w:t xml:space="preserve">AZURE_OPENAI_ENDPOINT=https://&lt;your-resource&gt;.openai.azure.com/</w:t>
        <w:br/>
        <w:t xml:space="preserve">AZURE_OPENAI_API_KEY=&lt;key&gt;</w:t>
        <w:br/>
        <w:t xml:space="preserve">AZURE_OPENAI_DEPLOYMENT=gpt-4.1-mini      # the DEPLOYMENT name, not the base model id</w:t>
        <w:br/>
        <w:t xml:space="preserve">AZURE_OPENAI_API_VERSION=2024-10-21       # optional; this is the default</w:t>
        <w:br/>
        <w:t xml:space="preserve"/>
        <w:br/>
        <w:t xml:space="preserve"># Email notifications (optional - Resend)</w:t>
        <w:br/>
        <w:t xml:space="preserve">RESEND_API_KEY=re_xxxx</w:t>
        <w:br/>
        <w:t xml:space="preserve">NOTIFY_FROM=onboarding@resend.dev</w:t>
        <w:br/>
        <w:t xml:space="preserve">EMAIL_PRODUCTION_MANAGER=...</w:t>
        <w:br/>
        <w:t xml:space="preserve">EMAIL_QA_MANAGER=...</w:t>
        <w:br/>
        <w:t xml:space="preserve">EMAIL_SUPERVISOR=...</w:t>
        <w:br/>
        <w:t xml:space="preserve">EMAIL_QA_LOG=...</w:t>
      </w:r>
    </w:p>
    <w:p>
      <w:pPr>
        <w:pStyle w:val="Heading1"/>
      </w:pPr>
      <w:r>
        <w:t xml:space="preserve">10.  Key Design Decisions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Single-source-of-truth config </w:t>
      </w:r>
      <w:r>
        <w:t xml:space="preserve">(</w:t>
      </w:r>
      <w:r>
        <w:rPr>
          <w:rFonts w:ascii="Consolas" w:cs="Consolas" w:eastAsia="Consolas" w:hAnsi="Consolas"/>
          <w:color w:val="B5005A"/>
          <w:sz w:val="19"/>
          <w:szCs w:val="19"/>
        </w:rPr>
        <w:t xml:space="preserve">aims/config.py</w:t>
      </w:r>
      <w:r>
        <w:t xml:space="preserve">) — all paths live in one place; modules never hard-code or glob the repo root.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Package layout </w:t>
      </w:r>
      <w:r>
        <w:t xml:space="preserve">(</w:t>
      </w:r>
      <w:r>
        <w:rPr>
          <w:rFonts w:ascii="Consolas" w:cs="Consolas" w:eastAsia="Consolas" w:hAnsi="Consolas"/>
          <w:color w:val="B5005A"/>
          <w:sz w:val="19"/>
          <w:szCs w:val="19"/>
        </w:rPr>
        <w:t xml:space="preserve">aims/</w:t>
      </w:r>
      <w:r>
        <w:t xml:space="preserve"> with </w:t>
      </w:r>
      <w:r>
        <w:rPr>
          <w:rFonts w:ascii="Consolas" w:cs="Consolas" w:eastAsia="Consolas" w:hAnsi="Consolas"/>
          <w:color w:val="B5005A"/>
          <w:sz w:val="19"/>
          <w:szCs w:val="19"/>
        </w:rPr>
        <w:t xml:space="preserve">pyproject.toml</w:t>
      </w:r>
      <w:r>
        <w:t xml:space="preserve">) — clean imports, console entry points, no scattered </w:t>
      </w:r>
      <w:r>
        <w:rPr>
          <w:rFonts w:ascii="Consolas" w:cs="Consolas" w:eastAsia="Consolas" w:hAnsi="Consolas"/>
          <w:color w:val="B5005A"/>
          <w:sz w:val="19"/>
          <w:szCs w:val="19"/>
        </w:rPr>
        <w:t xml:space="preserve">sys.path</w:t>
      </w:r>
      <w:r>
        <w:t xml:space="preserve"> hacks (except the two Streamlit entry scripts, which genuinely need it).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Data organized by pipeline stage </w:t>
      </w:r>
      <w:r>
        <w:t xml:space="preserve">(</w:t>
      </w:r>
      <w:r>
        <w:rPr>
          <w:rFonts w:ascii="Consolas" w:cs="Consolas" w:eastAsia="Consolas" w:hAnsi="Consolas"/>
          <w:color w:val="B5005A"/>
          <w:sz w:val="19"/>
          <w:szCs w:val="19"/>
        </w:rPr>
        <w:t xml:space="preserve">data/{checklists,verdicts,incidents,diagnoses}/</w:t>
      </w:r>
      <w:r>
        <w:t xml:space="preserve">), keyed by </w:t>
      </w:r>
      <w:r>
        <w:rPr>
          <w:rFonts w:ascii="Consolas" w:cs="Consolas" w:eastAsia="Consolas" w:hAnsi="Consolas"/>
          <w:color w:val="B5005A"/>
          <w:sz w:val="19"/>
          <w:szCs w:val="19"/>
        </w:rPr>
        <w:t xml:space="preserve">run_id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Bounded, auditable autonomy </w:t>
      </w:r>
      <w:r>
        <w:t xml:space="preserve">— Root-Cause and SLA agents are read-only or upward-only, guardrailed, fully logged. High-stakes actions (stop production, quarantine, mark-compliant on missing evidence) stay human-gated.</w:t>
      </w:r>
    </w:p>
    <w:p>
      <w:pPr>
        <w:pStyle w:val="Heading1"/>
      </w:pPr>
      <w:r>
        <w:t xml:space="preserve">11.  Roadmap / What’s Next</w:t>
      </w:r>
    </w:p>
    <w:p>
      <w:pPr>
        <w:pStyle w:val="Heading3"/>
      </w:pPr>
      <w:r>
        <w:t xml:space="preserve">Phase 1 — Base Azure services</w:t>
      </w:r>
    </w:p>
    <w:p>
      <w:pPr>
        <w:spacing w:after="120" w:line="276"/>
      </w:pPr>
      <w:r>
        <w:t xml:space="preserve">Azure OpenAI is in use; remaining are Blob Storage (shared verdicts-in / incidents-out), Cosmos DB (replaces </w:t>
      </w:r>
      <w:r>
        <w:rPr>
          <w:rFonts w:ascii="Consolas" w:cs="Consolas" w:eastAsia="Consolas" w:hAnsi="Consolas"/>
          <w:color w:val="B5005A"/>
          <w:sz w:val="19"/>
          <w:szCs w:val="19"/>
        </w:rPr>
        <w:t xml:space="preserve">tickets_db.json</w:t>
      </w:r>
      <w:r>
        <w:t xml:space="preserve">), Key Vault, and Azure Communication Services (email). Design intent: keep a local-file fallback so the demo still runs offline.</w:t>
      </w:r>
    </w:p>
    <w:p>
      <w:pPr>
        <w:pStyle w:val="Heading3"/>
      </w:pPr>
      <w:r>
        <w:t xml:space="preserve">Phase 2 — Bounded-agentic upgrades</w:t>
      </w:r>
    </w:p>
    <w:p>
      <w:pPr>
        <w:spacing w:after="120" w:line="276"/>
      </w:pPr>
      <w:r>
        <w:t xml:space="preserve">Root-cause grouping (done), Unable-to-Verify handling (done), SLA follow-up / escalation (done). High-stakes actions remain human-gated.</w:t>
      </w:r>
    </w:p>
    <w:p>
      <w:pPr>
        <w:pStyle w:val="Heading1"/>
      </w:pPr>
      <w:r>
        <w:t xml:space="preserve">12.  Ownership &amp; Boundaries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F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65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F3A5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 / Responsibility</w:t>
            </w:r>
          </w:p>
        </w:tc>
      </w:tr>
      <w:tr>
        <w:tc>
          <w:tcPr>
            <w:tcW w:type="dxa" w:w="28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This repo</w:t>
            </w:r>
          </w:p>
        </w:tc>
        <w:tc>
          <w:tcPr>
            <w:tcW w:type="dxa" w:w="65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sz w:val="20"/>
                <w:szCs w:val="20"/>
              </w:rPr>
              <w:t xml:space="preserve">Layer 3 agents + triage UI + SLA</w:t>
            </w:r>
          </w:p>
        </w:tc>
      </w:tr>
      <w:tr>
        <w:tc>
          <w:tcPr>
            <w:tcW w:type="dxa" w:w="28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Upstream (teammates)</w:t>
            </w:r>
          </w:p>
        </w:tc>
        <w:tc>
          <w:tcPr>
            <w:tcW w:type="dxa" w:w="65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sz w:val="20"/>
                <w:szCs w:val="20"/>
              </w:rPr>
              <w:t xml:space="preserve">Layer 1 (video capture) and Layer 2 (per-step compliance reasoning) — they produce the *_verdicts.json contract this repo consumes.</w:t>
            </w:r>
          </w:p>
        </w:tc>
      </w:tr>
    </w:tbl>
    <w:p>
      <w:pPr>
        <w:spacing w:after="120" w:line="276"/>
      </w:pPr>
      <w:r>
        <w:rPr>
          <w:i/>
          <w:iCs/>
          <w:color w:val="B00020"/>
        </w:rPr>
        <w:t xml:space="preserve">Any change to the verdict schema must be coordinated with the upstream owners.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4E0" w:sz="4" w:space="4"/>
      </w:pBdr>
      <w:tabs>
        <w:tab w:val="right" w:pos="9360"/>
      </w:tabs>
      <w:spacing w:before="40"/>
    </w:pPr>
    <w:r>
      <w:rPr>
        <w:color w:val="5A6B7B"/>
        <w:sz w:val="15"/>
        <w:szCs w:val="15"/>
      </w:rPr>
      <w:t xml:space="preserve">Layer 3 — AI Agents Reasoning Layer &amp; Triage UI</w:t>
    </w:r>
    <w:r>
      <w:rPr>
        <w:color w:val="5A6B7B"/>
        <w:sz w:val="16"/>
        <w:szCs w:val="16"/>
      </w:rPr>
      <w:t xml:space="preserve">	Page </w:t>
    </w:r>
    <w:r>
      <w:rPr>
        <w:color w:val="5A6B7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A6B7B"/>
        <w:sz w:val="16"/>
        <w:szCs w:val="16"/>
      </w:rPr>
      <w:t xml:space="preserve"> of </w:t>
    </w:r>
    <w:r>
      <w:rPr>
        <w:color w:val="5A6B7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4E0" w:sz="4" w:space="4"/>
      </w:pBdr>
      <w:tabs>
        <w:tab w:val="right" w:pos="9360"/>
      </w:tabs>
      <w:spacing w:after="40"/>
    </w:pPr>
    <w:r>
      <w:rPr>
        <w:b/>
        <w:bCs/>
        <w:color w:val="1F3A5F"/>
        <w:sz w:val="18"/>
        <w:szCs w:val="18"/>
      </w:rPr>
      <w:t xml:space="preserve">AIMS</w:t>
    </w:r>
    <w:r>
      <w:rPr>
        <w:color w:val="5A6B7B"/>
        <w:sz w:val="16"/>
        <w:szCs w:val="16"/>
      </w:rPr>
      <w:t xml:space="preserve">  —  Agentic Incident Management System</w:t>
    </w:r>
    <w:r>
      <w:rPr>
        <w:color w:val="5A6B7B"/>
        <w:sz w:val="16"/>
        <w:szCs w:val="16"/>
      </w:rPr>
      <w:t xml:space="preserve">	Project Handover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2E6DA4"/>
      </w:r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6DA4" w:sz="6" w:space="4"/>
      </w:pBdr>
      <w:spacing w:after="140" w:before="320"/>
      <w:outlineLvl w:val="0"/>
    </w:pPr>
    <w:rPr>
      <w:rFonts w:ascii="Calibri" w:cs="Calibri" w:eastAsia="Calibri" w:hAnsi="Calibr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Calibri" w:cs="Calibri" w:eastAsia="Calibri" w:hAnsi="Calibri"/>
      <w:b/>
      <w:bCs/>
      <w:color w:val="2E6DA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Calibri" w:cs="Calibri" w:eastAsia="Calibri" w:hAnsi="Calibri"/>
      <w:b/>
      <w:bCs/>
      <w:color w:val="1F3A5F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AIMS — Project Handover</dc:title>
  <dc:creator>Project Handover</dc:creator>
  <dc:description>Agentic Incident Management System handover document</dc:description>
  <cp:lastModifiedBy>Un-named</cp:lastModifiedBy>
  <cp:revision>1</cp:revision>
  <dcterms:created xsi:type="dcterms:W3CDTF">2026-06-30T05:19:29.554Z</dcterms:created>
  <dcterms:modified xsi:type="dcterms:W3CDTF">2026-06-30T05:19:29.554Z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