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280" w:line="240" w:lineRule="auto"/>
        <w:rPr>
          <w:b w:val="1"/>
          <w:color w:val="ff0000"/>
          <w:sz w:val="34"/>
          <w:szCs w:val="34"/>
        </w:rPr>
      </w:pPr>
      <w:bookmarkStart w:colFirst="0" w:colLast="0" w:name="_3tpntldmuebl" w:id="0"/>
      <w:bookmarkEnd w:id="0"/>
      <w:r w:rsidDel="00000000" w:rsidR="00000000" w:rsidRPr="00000000">
        <w:rPr>
          <w:b w:val="1"/>
          <w:color w:val="ff0000"/>
          <w:sz w:val="34"/>
          <w:szCs w:val="34"/>
          <w:rtl w:val="0"/>
        </w:rPr>
        <w:t xml:space="preserve">Coca Cola Sales Dashboard – Explanation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40" w:lineRule="auto"/>
        <w:jc w:val="both"/>
        <w:rPr>
          <w:b w:val="1"/>
          <w:sz w:val="26"/>
          <w:szCs w:val="26"/>
        </w:rPr>
      </w:pPr>
      <w:r w:rsidDel="00000000" w:rsidR="00000000" w:rsidRPr="00000000">
        <w:rPr>
          <w:b w:val="1"/>
          <w:sz w:val="26"/>
          <w:szCs w:val="26"/>
          <w:rtl w:val="0"/>
        </w:rPr>
        <w:t xml:space="preserve">1. Dashboard Overview</w:t>
      </w:r>
    </w:p>
    <w:p w:rsidR="00000000" w:rsidDel="00000000" w:rsidP="00000000" w:rsidRDefault="00000000" w:rsidRPr="00000000" w14:paraId="00000004">
      <w:pPr>
        <w:spacing w:after="240" w:before="240" w:line="240" w:lineRule="auto"/>
        <w:jc w:val="both"/>
        <w:rPr/>
      </w:pPr>
      <w:r w:rsidDel="00000000" w:rsidR="00000000" w:rsidRPr="00000000">
        <w:rPr>
          <w:rtl w:val="0"/>
        </w:rPr>
        <w:br w:type="textWrapping"/>
        <w:tab/>
        <w:t xml:space="preserve">This dashboard provides a comprehensive view of Coca Cola product sales performance operating profit analysis for the period 02-Jan-2022 to 25-Dec-2022. It allows us to track sales, profit margins, and unit performance across different beverage brands under Coca Cola.</w:t>
      </w:r>
    </w:p>
    <w:p w:rsidR="00000000" w:rsidDel="00000000" w:rsidP="00000000" w:rsidRDefault="00000000" w:rsidRPr="00000000" w14:paraId="00000005">
      <w:pPr>
        <w:spacing w:after="240" w:before="240" w:line="240" w:lineRule="auto"/>
        <w:jc w:val="both"/>
        <w:rPr/>
      </w:pPr>
      <w:r w:rsidDel="00000000" w:rsidR="00000000" w:rsidRPr="00000000">
        <w:rPr>
          <w:rtl w:val="0"/>
        </w:rPr>
      </w:r>
    </w:p>
    <w:p w:rsidR="00000000" w:rsidDel="00000000" w:rsidP="00000000" w:rsidRDefault="00000000" w:rsidRPr="00000000" w14:paraId="00000006">
      <w:pPr>
        <w:spacing w:after="240" w:before="240" w:line="240" w:lineRule="auto"/>
        <w:rPr>
          <w:b w:val="1"/>
          <w:sz w:val="24"/>
          <w:szCs w:val="24"/>
        </w:rPr>
      </w:pPr>
      <w:r w:rsidDel="00000000" w:rsidR="00000000" w:rsidRPr="00000000">
        <w:rPr>
          <w:b w:val="1"/>
          <w:sz w:val="24"/>
          <w:szCs w:val="24"/>
          <w:rtl w:val="0"/>
        </w:rPr>
        <w:t xml:space="preserve">2. Key Insights from Dashboard</w:t>
      </w:r>
    </w:p>
    <w:p w:rsidR="00000000" w:rsidDel="00000000" w:rsidP="00000000" w:rsidRDefault="00000000" w:rsidRPr="00000000" w14:paraId="00000007">
      <w:pPr>
        <w:numPr>
          <w:ilvl w:val="0"/>
          <w:numId w:val="4"/>
        </w:numPr>
        <w:spacing w:after="0" w:afterAutospacing="0" w:before="240" w:line="240" w:lineRule="auto"/>
        <w:ind w:left="720" w:hanging="360"/>
        <w:rPr>
          <w:u w:val="none"/>
        </w:rPr>
      </w:pPr>
      <w:r w:rsidDel="00000000" w:rsidR="00000000" w:rsidRPr="00000000">
        <w:rPr>
          <w:rtl w:val="0"/>
        </w:rPr>
        <w:t xml:space="preserve"> Top Performing Brands by Total Sales</w:t>
      </w:r>
    </w:p>
    <w:p w:rsidR="00000000" w:rsidDel="00000000" w:rsidP="00000000" w:rsidRDefault="00000000" w:rsidRPr="00000000" w14:paraId="00000008">
      <w:pPr>
        <w:numPr>
          <w:ilvl w:val="0"/>
          <w:numId w:val="8"/>
        </w:numPr>
        <w:spacing w:after="0" w:afterAutospacing="0" w:before="0" w:beforeAutospacing="0" w:line="240" w:lineRule="auto"/>
        <w:ind w:left="1440" w:hanging="360"/>
        <w:rPr/>
      </w:pPr>
      <w:r w:rsidDel="00000000" w:rsidR="00000000" w:rsidRPr="00000000">
        <w:rPr>
          <w:rtl w:val="0"/>
        </w:rPr>
        <w:t xml:space="preserve">Coca-Cola leads with ₹19.23M in sales, 3.98M units sold, and an operating profit of ₹7.67M.</w:t>
      </w:r>
    </w:p>
    <w:p w:rsidR="00000000" w:rsidDel="00000000" w:rsidP="00000000" w:rsidRDefault="00000000" w:rsidRPr="00000000" w14:paraId="00000009">
      <w:pPr>
        <w:numPr>
          <w:ilvl w:val="0"/>
          <w:numId w:val="8"/>
        </w:numPr>
        <w:spacing w:after="0" w:afterAutospacing="0" w:before="0" w:beforeAutospacing="0" w:line="240" w:lineRule="auto"/>
        <w:ind w:left="1440" w:hanging="360"/>
        <w:rPr/>
      </w:pPr>
      <w:r w:rsidDel="00000000" w:rsidR="00000000" w:rsidRPr="00000000">
        <w:rPr>
          <w:rtl w:val="0"/>
        </w:rPr>
        <w:t xml:space="preserve">Dasani Water ranks second with ₹16.39M sales and ₹6.18M profit.</w:t>
      </w:r>
    </w:p>
    <w:p w:rsidR="00000000" w:rsidDel="00000000" w:rsidP="00000000" w:rsidRDefault="00000000" w:rsidRPr="00000000" w14:paraId="0000000A">
      <w:pPr>
        <w:numPr>
          <w:ilvl w:val="0"/>
          <w:numId w:val="8"/>
        </w:numPr>
        <w:spacing w:after="0" w:afterAutospacing="0" w:before="0" w:beforeAutospacing="0" w:line="240" w:lineRule="auto"/>
        <w:ind w:left="1440" w:hanging="360"/>
        <w:rPr/>
      </w:pPr>
      <w:r w:rsidDel="00000000" w:rsidR="00000000" w:rsidRPr="00000000">
        <w:rPr>
          <w:rtl w:val="0"/>
        </w:rPr>
        <w:t xml:space="preserve">Diet Coke contributed ₹13.91M sales with ₹4.73M profit.</w:t>
        <w:br w:type="textWrapping"/>
      </w:r>
    </w:p>
    <w:p w:rsidR="00000000" w:rsidDel="00000000" w:rsidP="00000000" w:rsidRDefault="00000000" w:rsidRPr="00000000" w14:paraId="0000000B">
      <w:pPr>
        <w:numPr>
          <w:ilvl w:val="0"/>
          <w:numId w:val="2"/>
        </w:numPr>
        <w:spacing w:after="0" w:afterAutospacing="0" w:before="0" w:beforeAutospacing="0" w:line="240" w:lineRule="auto"/>
        <w:ind w:left="720" w:hanging="360"/>
        <w:rPr/>
      </w:pPr>
      <w:r w:rsidDel="00000000" w:rsidR="00000000" w:rsidRPr="00000000">
        <w:rPr>
          <w:rtl w:val="0"/>
        </w:rPr>
        <w:t xml:space="preserve">  Overall Performance</w:t>
      </w:r>
    </w:p>
    <w:p w:rsidR="00000000" w:rsidDel="00000000" w:rsidP="00000000" w:rsidRDefault="00000000" w:rsidRPr="00000000" w14:paraId="0000000C">
      <w:pPr>
        <w:numPr>
          <w:ilvl w:val="0"/>
          <w:numId w:val="3"/>
        </w:numPr>
        <w:spacing w:after="0" w:afterAutospacing="0" w:before="0" w:beforeAutospacing="0" w:line="240" w:lineRule="auto"/>
        <w:ind w:left="1440" w:hanging="360"/>
        <w:rPr/>
      </w:pPr>
      <w:r w:rsidDel="00000000" w:rsidR="00000000" w:rsidRPr="00000000">
        <w:rPr>
          <w:rtl w:val="0"/>
        </w:rPr>
        <w:t xml:space="preserve">Total Sales: ₹82.15M</w:t>
      </w:r>
    </w:p>
    <w:p w:rsidR="00000000" w:rsidDel="00000000" w:rsidP="00000000" w:rsidRDefault="00000000" w:rsidRPr="00000000" w14:paraId="0000000D">
      <w:pPr>
        <w:numPr>
          <w:ilvl w:val="0"/>
          <w:numId w:val="3"/>
        </w:numPr>
        <w:spacing w:after="0" w:afterAutospacing="0" w:before="0" w:beforeAutospacing="0" w:line="240" w:lineRule="auto"/>
        <w:ind w:left="1440" w:hanging="360"/>
        <w:rPr/>
      </w:pPr>
      <w:r w:rsidDel="00000000" w:rsidR="00000000" w:rsidRPr="00000000">
        <w:rPr>
          <w:rtl w:val="0"/>
        </w:rPr>
        <w:t xml:space="preserve">Total Units Sold: 16.48M</w:t>
      </w:r>
    </w:p>
    <w:p w:rsidR="00000000" w:rsidDel="00000000" w:rsidP="00000000" w:rsidRDefault="00000000" w:rsidRPr="00000000" w14:paraId="0000000E">
      <w:pPr>
        <w:numPr>
          <w:ilvl w:val="0"/>
          <w:numId w:val="3"/>
        </w:numPr>
        <w:spacing w:after="0" w:afterAutospacing="0" w:before="0" w:beforeAutospacing="0" w:line="240" w:lineRule="auto"/>
        <w:ind w:left="1440" w:hanging="360"/>
        <w:rPr/>
      </w:pPr>
      <w:r w:rsidDel="00000000" w:rsidR="00000000" w:rsidRPr="00000000">
        <w:rPr>
          <w:rtl w:val="0"/>
        </w:rPr>
        <w:t xml:space="preserve">Total Operating Profit: ₹30.41M</w:t>
      </w:r>
    </w:p>
    <w:p w:rsidR="00000000" w:rsidDel="00000000" w:rsidP="00000000" w:rsidRDefault="00000000" w:rsidRPr="00000000" w14:paraId="0000000F">
      <w:pPr>
        <w:numPr>
          <w:ilvl w:val="0"/>
          <w:numId w:val="3"/>
        </w:numPr>
        <w:spacing w:after="0" w:afterAutospacing="0" w:before="0" w:beforeAutospacing="0" w:line="240" w:lineRule="auto"/>
        <w:ind w:left="1440" w:hanging="360"/>
        <w:rPr/>
      </w:pPr>
      <w:r w:rsidDel="00000000" w:rsidR="00000000" w:rsidRPr="00000000">
        <w:rPr>
          <w:rtl w:val="0"/>
        </w:rPr>
        <w:t xml:space="preserve">Average Operating Margin: 37%</w:t>
        <w:br w:type="textWrapping"/>
      </w:r>
    </w:p>
    <w:p w:rsidR="00000000" w:rsidDel="00000000" w:rsidP="00000000" w:rsidRDefault="00000000" w:rsidRPr="00000000" w14:paraId="00000010">
      <w:pPr>
        <w:numPr>
          <w:ilvl w:val="0"/>
          <w:numId w:val="5"/>
        </w:numPr>
        <w:spacing w:after="0" w:afterAutospacing="0" w:before="0" w:beforeAutospacing="0" w:line="240" w:lineRule="auto"/>
        <w:ind w:left="720" w:hanging="360"/>
        <w:rPr/>
      </w:pPr>
      <w:r w:rsidDel="00000000" w:rsidR="00000000" w:rsidRPr="00000000">
        <w:rPr>
          <w:rtl w:val="0"/>
        </w:rPr>
        <w:t xml:space="preserve"> Operating Profit Drivers (Key Influencers)</w:t>
      </w:r>
    </w:p>
    <w:p w:rsidR="00000000" w:rsidDel="00000000" w:rsidP="00000000" w:rsidRDefault="00000000" w:rsidRPr="00000000" w14:paraId="00000011">
      <w:pPr>
        <w:numPr>
          <w:ilvl w:val="0"/>
          <w:numId w:val="1"/>
        </w:numPr>
        <w:spacing w:after="0" w:afterAutospacing="0" w:before="0" w:beforeAutospacing="0" w:line="240" w:lineRule="auto"/>
        <w:ind w:left="1440" w:hanging="360"/>
        <w:rPr/>
      </w:pPr>
      <w:r w:rsidDel="00000000" w:rsidR="00000000" w:rsidRPr="00000000">
        <w:rPr>
          <w:rtl w:val="0"/>
        </w:rPr>
        <w:t xml:space="preserve">When Total Sales increases by ~₹1,456, Operating Profit rises on average by ₹523.</w:t>
      </w:r>
    </w:p>
    <w:p w:rsidR="00000000" w:rsidDel="00000000" w:rsidP="00000000" w:rsidRDefault="00000000" w:rsidRPr="00000000" w14:paraId="00000012">
      <w:pPr>
        <w:numPr>
          <w:ilvl w:val="0"/>
          <w:numId w:val="1"/>
        </w:numPr>
        <w:spacing w:after="0" w:afterAutospacing="0" w:before="0" w:beforeAutospacing="0" w:line="240" w:lineRule="auto"/>
        <w:ind w:left="1440" w:hanging="360"/>
        <w:rPr/>
      </w:pPr>
      <w:r w:rsidDel="00000000" w:rsidR="00000000" w:rsidRPr="00000000">
        <w:rPr>
          <w:rtl w:val="0"/>
        </w:rPr>
        <w:t xml:space="preserve">Coca-Cola and Dasani Water brands have the strongest positive influence on profit.</w:t>
      </w:r>
    </w:p>
    <w:p w:rsidR="00000000" w:rsidDel="00000000" w:rsidP="00000000" w:rsidRDefault="00000000" w:rsidRPr="00000000" w14:paraId="00000013">
      <w:pPr>
        <w:numPr>
          <w:ilvl w:val="0"/>
          <w:numId w:val="1"/>
        </w:numPr>
        <w:spacing w:after="0" w:afterAutospacing="0" w:before="0" w:beforeAutospacing="0" w:line="240" w:lineRule="auto"/>
        <w:ind w:left="1440" w:hanging="360"/>
        <w:rPr/>
      </w:pPr>
      <w:r w:rsidDel="00000000" w:rsidR="00000000" w:rsidRPr="00000000">
        <w:rPr>
          <w:rtl w:val="0"/>
        </w:rPr>
        <w:t xml:space="preserve">Scatter plot analysis confirms that higher sales directly correlate with higher operating profit.</w:t>
        <w:br w:type="textWrapping"/>
      </w:r>
    </w:p>
    <w:p w:rsidR="00000000" w:rsidDel="00000000" w:rsidP="00000000" w:rsidRDefault="00000000" w:rsidRPr="00000000" w14:paraId="00000014">
      <w:pPr>
        <w:numPr>
          <w:ilvl w:val="0"/>
          <w:numId w:val="6"/>
        </w:numPr>
        <w:spacing w:after="0" w:afterAutospacing="0" w:before="0" w:beforeAutospacing="0" w:line="240" w:lineRule="auto"/>
        <w:ind w:left="720" w:hanging="360"/>
        <w:rPr/>
      </w:pPr>
      <w:r w:rsidDel="00000000" w:rsidR="00000000" w:rsidRPr="00000000">
        <w:rPr>
          <w:rtl w:val="0"/>
        </w:rPr>
        <w:t xml:space="preserve"> Operating Margin Comparison</w:t>
      </w:r>
    </w:p>
    <w:p w:rsidR="00000000" w:rsidDel="00000000" w:rsidP="00000000" w:rsidRDefault="00000000" w:rsidRPr="00000000" w14:paraId="00000015">
      <w:pPr>
        <w:numPr>
          <w:ilvl w:val="0"/>
          <w:numId w:val="7"/>
        </w:numPr>
        <w:spacing w:after="0" w:afterAutospacing="0" w:before="0" w:beforeAutospacing="0" w:line="240" w:lineRule="auto"/>
        <w:ind w:left="1440" w:hanging="360"/>
        <w:rPr/>
      </w:pPr>
      <w:r w:rsidDel="00000000" w:rsidR="00000000" w:rsidRPr="00000000">
        <w:rPr>
          <w:rtl w:val="0"/>
        </w:rPr>
        <w:t xml:space="preserve">Coca-Cola: 39% margin</w:t>
      </w:r>
    </w:p>
    <w:p w:rsidR="00000000" w:rsidDel="00000000" w:rsidP="00000000" w:rsidRDefault="00000000" w:rsidRPr="00000000" w14:paraId="00000016">
      <w:pPr>
        <w:numPr>
          <w:ilvl w:val="0"/>
          <w:numId w:val="7"/>
        </w:numPr>
        <w:spacing w:after="0" w:afterAutospacing="0" w:before="0" w:beforeAutospacing="0" w:line="240" w:lineRule="auto"/>
        <w:ind w:left="1440" w:hanging="360"/>
        <w:rPr/>
      </w:pPr>
      <w:r w:rsidDel="00000000" w:rsidR="00000000" w:rsidRPr="00000000">
        <w:rPr>
          <w:rtl w:val="0"/>
        </w:rPr>
        <w:t xml:space="preserve">Dasani Water: 38% margin</w:t>
      </w:r>
    </w:p>
    <w:p w:rsidR="00000000" w:rsidDel="00000000" w:rsidP="00000000" w:rsidRDefault="00000000" w:rsidRPr="00000000" w14:paraId="00000017">
      <w:pPr>
        <w:numPr>
          <w:ilvl w:val="0"/>
          <w:numId w:val="7"/>
        </w:numPr>
        <w:spacing w:after="0" w:afterAutospacing="0" w:before="0" w:beforeAutospacing="0" w:line="240" w:lineRule="auto"/>
        <w:ind w:left="1440" w:hanging="360"/>
        <w:rPr/>
      </w:pPr>
      <w:r w:rsidDel="00000000" w:rsidR="00000000" w:rsidRPr="00000000">
        <w:rPr>
          <w:rtl w:val="0"/>
        </w:rPr>
        <w:t xml:space="preserve">Diet Coke: 35% margin</w:t>
      </w:r>
    </w:p>
    <w:p w:rsidR="00000000" w:rsidDel="00000000" w:rsidP="00000000" w:rsidRDefault="00000000" w:rsidRPr="00000000" w14:paraId="00000018">
      <w:pPr>
        <w:numPr>
          <w:ilvl w:val="0"/>
          <w:numId w:val="7"/>
        </w:numPr>
        <w:spacing w:after="0" w:afterAutospacing="0" w:before="0" w:beforeAutospacing="0" w:line="240" w:lineRule="auto"/>
        <w:ind w:left="1440" w:hanging="360"/>
        <w:rPr/>
      </w:pPr>
      <w:r w:rsidDel="00000000" w:rsidR="00000000" w:rsidRPr="00000000">
        <w:rPr>
          <w:rtl w:val="0"/>
        </w:rPr>
        <w:t xml:space="preserve">Sprite: 35% margin</w:t>
      </w:r>
    </w:p>
    <w:p w:rsidR="00000000" w:rsidDel="00000000" w:rsidP="00000000" w:rsidRDefault="00000000" w:rsidRPr="00000000" w14:paraId="00000019">
      <w:pPr>
        <w:numPr>
          <w:ilvl w:val="0"/>
          <w:numId w:val="7"/>
        </w:numPr>
        <w:spacing w:after="0" w:afterAutospacing="0" w:before="0" w:beforeAutospacing="0" w:line="240" w:lineRule="auto"/>
        <w:ind w:left="1440" w:hanging="360"/>
        <w:rPr/>
      </w:pPr>
      <w:r w:rsidDel="00000000" w:rsidR="00000000" w:rsidRPr="00000000">
        <w:rPr>
          <w:rtl w:val="0"/>
        </w:rPr>
        <w:t xml:space="preserve">Powerade: 36% margin</w:t>
      </w:r>
    </w:p>
    <w:p w:rsidR="00000000" w:rsidDel="00000000" w:rsidP="00000000" w:rsidRDefault="00000000" w:rsidRPr="00000000" w14:paraId="0000001A">
      <w:pPr>
        <w:numPr>
          <w:ilvl w:val="0"/>
          <w:numId w:val="7"/>
        </w:numPr>
        <w:spacing w:after="240" w:before="0" w:beforeAutospacing="0" w:line="240" w:lineRule="auto"/>
        <w:ind w:left="1440" w:hanging="360"/>
        <w:rPr/>
      </w:pPr>
      <w:r w:rsidDel="00000000" w:rsidR="00000000" w:rsidRPr="00000000">
        <w:rPr>
          <w:rtl w:val="0"/>
        </w:rPr>
        <w:t xml:space="preserve">Fanta: 37% margin</w:t>
        <w:br w:type="textWrapping"/>
      </w:r>
    </w:p>
    <w:p w:rsidR="00000000" w:rsidDel="00000000" w:rsidP="00000000" w:rsidRDefault="00000000" w:rsidRPr="00000000" w14:paraId="0000001B">
      <w:pPr>
        <w:spacing w:after="240" w:before="240" w:line="240" w:lineRule="auto"/>
        <w:rPr/>
      </w:pPr>
      <w:r w:rsidDel="00000000" w:rsidR="00000000" w:rsidRPr="00000000">
        <w:rPr>
          <w:rtl w:val="0"/>
        </w:rPr>
        <w:t xml:space="preserve">Margins are relatively stable across products, with Coca-Cola slightly leading.</w:t>
      </w:r>
    </w:p>
    <w:p w:rsidR="00000000" w:rsidDel="00000000" w:rsidP="00000000" w:rsidRDefault="00000000" w:rsidRPr="00000000" w14:paraId="0000001C">
      <w:pPr>
        <w:spacing w:after="240" w:before="240" w:line="240" w:lineRule="auto"/>
        <w:rPr/>
      </w:pPr>
      <w:r w:rsidDel="00000000" w:rsidR="00000000" w:rsidRPr="00000000">
        <w:rPr>
          <w:rtl w:val="0"/>
        </w:rPr>
      </w:r>
    </w:p>
    <w:p w:rsidR="00000000" w:rsidDel="00000000" w:rsidP="00000000" w:rsidRDefault="00000000" w:rsidRPr="00000000" w14:paraId="0000001D">
      <w:pPr>
        <w:spacing w:after="240" w:before="240" w:line="240" w:lineRule="auto"/>
        <w:rPr>
          <w:b w:val="1"/>
          <w:sz w:val="24"/>
          <w:szCs w:val="24"/>
        </w:rPr>
      </w:pPr>
      <w:r w:rsidDel="00000000" w:rsidR="00000000" w:rsidRPr="00000000">
        <w:rPr>
          <w:b w:val="1"/>
          <w:sz w:val="24"/>
          <w:szCs w:val="24"/>
          <w:rtl w:val="0"/>
        </w:rPr>
        <w:t xml:space="preserve">3. Business Insights &amp; Recommendations</w:t>
      </w:r>
    </w:p>
    <w:p w:rsidR="00000000" w:rsidDel="00000000" w:rsidP="00000000" w:rsidRDefault="00000000" w:rsidRPr="00000000" w14:paraId="0000001E">
      <w:pPr>
        <w:spacing w:after="240" w:before="240" w:line="240" w:lineRule="auto"/>
        <w:rPr/>
      </w:pPr>
      <w:r w:rsidDel="00000000" w:rsidR="00000000" w:rsidRPr="00000000">
        <w:rPr>
          <w:rtl w:val="0"/>
        </w:rPr>
        <w:t xml:space="preserve">🔹 Focus on Coca-Cola &amp; Dasani Water – They are the main revenue and profit drivers. Strengthening marketing and distribution here will maximize returns.</w:t>
      </w:r>
    </w:p>
    <w:p w:rsidR="00000000" w:rsidDel="00000000" w:rsidP="00000000" w:rsidRDefault="00000000" w:rsidRPr="00000000" w14:paraId="0000001F">
      <w:pPr>
        <w:spacing w:after="240" w:before="240" w:line="240" w:lineRule="auto"/>
        <w:rPr/>
      </w:pPr>
      <w:r w:rsidDel="00000000" w:rsidR="00000000" w:rsidRPr="00000000">
        <w:rPr>
          <w:rtl w:val="0"/>
        </w:rPr>
        <w:t xml:space="preserve">🔹 Improve Diet Coke &amp; Sprite sales – Though they contribute significantly, their margins are slightly lower. Promotions or bundling strategies could help boost volume.</w:t>
      </w:r>
    </w:p>
    <w:p w:rsidR="00000000" w:rsidDel="00000000" w:rsidP="00000000" w:rsidRDefault="00000000" w:rsidRPr="00000000" w14:paraId="00000020">
      <w:pPr>
        <w:spacing w:after="240" w:before="240" w:line="240" w:lineRule="auto"/>
        <w:rPr/>
      </w:pPr>
      <w:r w:rsidDel="00000000" w:rsidR="00000000" w:rsidRPr="00000000">
        <w:rPr>
          <w:rtl w:val="0"/>
        </w:rPr>
        <w:t xml:space="preserve">🔹 Expand Powerade &amp; Fanta reach – These have smaller contributions compared to the top brands, but margins are competitive. Increasing visibility may enhance overall growth.</w:t>
      </w:r>
    </w:p>
    <w:p w:rsidR="00000000" w:rsidDel="00000000" w:rsidP="00000000" w:rsidRDefault="00000000" w:rsidRPr="00000000" w14:paraId="00000021">
      <w:pPr>
        <w:spacing w:after="240" w:before="240" w:line="240" w:lineRule="auto"/>
        <w:rPr/>
      </w:pPr>
      <w:r w:rsidDel="00000000" w:rsidR="00000000" w:rsidRPr="00000000">
        <w:rPr>
          <w:rtl w:val="0"/>
        </w:rPr>
        <w:t xml:space="preserve">🔹 Maintain Price Strategy – The average selling price is consistent (₹0.42 – ₹0.55 per unit) across products. Balanced pricing with sales volume helps sustain healthy profit margins.</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after="240" w:before="240" w:line="240" w:lineRule="auto"/>
        <w:rPr>
          <w:b w:val="1"/>
          <w:sz w:val="24"/>
          <w:szCs w:val="24"/>
        </w:rPr>
      </w:pPr>
      <w:r w:rsidDel="00000000" w:rsidR="00000000" w:rsidRPr="00000000">
        <w:rPr>
          <w:b w:val="1"/>
          <w:sz w:val="24"/>
          <w:szCs w:val="24"/>
          <w:rtl w:val="0"/>
        </w:rPr>
        <w:t xml:space="preserve">4. Conclusion</w:t>
      </w:r>
    </w:p>
    <w:p w:rsidR="00000000" w:rsidDel="00000000" w:rsidP="00000000" w:rsidRDefault="00000000" w:rsidRPr="00000000" w14:paraId="00000026">
      <w:pPr>
        <w:spacing w:after="240" w:before="240" w:line="240" w:lineRule="auto"/>
        <w:rPr/>
      </w:pPr>
      <w:r w:rsidDel="00000000" w:rsidR="00000000" w:rsidRPr="00000000">
        <w:rPr>
          <w:rtl w:val="0"/>
        </w:rPr>
        <w:br w:type="textWrapping"/>
        <w:t xml:space="preserve"> The dashboard clearly shows that Coca-Cola and Dasani Water are the backbone of sales and profit. There is room for growth in Diet Coke, Sprite, and Powerade with targeted marketing. Overall, the Coca Cola portfolio maintained a 37% operating margin, indicating strong profitability throughout the year.</w:t>
      </w:r>
    </w:p>
    <w:p w:rsidR="00000000" w:rsidDel="00000000" w:rsidP="00000000" w:rsidRDefault="00000000" w:rsidRPr="00000000" w14:paraId="00000027">
      <w:pPr>
        <w:rPr/>
      </w:pPr>
      <w:r w:rsidDel="00000000" w:rsidR="00000000" w:rsidRPr="00000000">
        <w:rPr>
          <w:rtl w:val="0"/>
        </w:rPr>
      </w:r>
    </w:p>
    <w:sectPr>
      <w:pgSz w:h="15840" w:w="12240" w:orient="portrait"/>
      <w:pgMar w:bottom="4359.68503937008" w:top="1780.1574803149608" w:left="986.456692913386" w:right="1020.472440944882"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