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4525B">
      <w:pPr>
        <w:spacing w:before="157" w:after="157" w:line="270" w:lineRule="auto"/>
        <w:jc w:val="left"/>
        <w:rPr>
          <w:rFonts w:hint="default" w:ascii="Calibri" w:hAnsi="Calibri" w:cs="Calibri"/>
        </w:rPr>
      </w:pPr>
      <w:bookmarkStart w:id="0" w:name="proper_documentation_for_above_da_e5ef50"/>
      <w:r>
        <w:rPr>
          <w:rFonts w:hint="default" w:ascii="Calibri" w:hAnsi="Calibri" w:eastAsia="inter" w:cs="Calibri"/>
          <w:b/>
          <w:color w:val="000000"/>
          <w:sz w:val="39"/>
        </w:rPr>
        <w:t>Documentation for above Dashboards</w:t>
      </w:r>
      <w:bookmarkEnd w:id="0"/>
    </w:p>
    <w:p w14:paraId="46D76312">
      <w:pPr>
        <w:spacing w:after="210" w:line="360" w:lineRule="auto"/>
        <w:rPr>
          <w:rFonts w:hint="default" w:ascii="Calibri" w:hAnsi="Calibri" w:eastAsia="inter" w:cs="Calibri"/>
          <w:color w:val="000000"/>
          <w:lang w:val="en-IN"/>
        </w:rPr>
      </w:pPr>
      <w:r>
        <w:rPr>
          <w:rFonts w:hint="default" w:ascii="Calibri" w:hAnsi="Calibri" w:eastAsia="inter" w:cs="Calibri"/>
          <w:color w:val="000000"/>
        </w:rPr>
        <w:t xml:space="preserve">Project Name: </w:t>
      </w:r>
      <w:r>
        <w:rPr>
          <w:rFonts w:hint="default" w:ascii="Calibri" w:hAnsi="Calibri" w:eastAsia="inter" w:cs="Calibri"/>
          <w:b w:val="0"/>
          <w:bCs/>
          <w:color w:val="000000"/>
        </w:rPr>
        <w:t xml:space="preserve">Financial </w:t>
      </w:r>
      <w:r>
        <w:rPr>
          <w:rFonts w:hint="default" w:ascii="Calibri" w:hAnsi="Calibri" w:eastAsia="inter" w:cs="Calibri"/>
          <w:color w:val="000000"/>
        </w:rPr>
        <w:t>Risk Analysis Dashboard</w:t>
      </w:r>
    </w:p>
    <w:p w14:paraId="45F30986">
      <w:pPr>
        <w:spacing w:before="315" w:after="105" w:line="360" w:lineRule="auto"/>
        <w:ind w:left="-30"/>
        <w:jc w:val="left"/>
        <w:rPr>
          <w:rFonts w:hint="default" w:ascii="Calibri" w:hAnsi="Calibri" w:cs="Calibri"/>
        </w:rPr>
      </w:pPr>
      <w:bookmarkStart w:id="1" w:name="bm_1_objective"/>
      <w:r>
        <w:rPr>
          <w:rFonts w:hint="default" w:ascii="Calibri" w:hAnsi="Calibri" w:eastAsia="inter" w:cs="Calibri"/>
          <w:b/>
          <w:color w:val="000000"/>
          <w:sz w:val="24"/>
        </w:rPr>
        <w:t>1. Objective</w:t>
      </w:r>
      <w:bookmarkEnd w:id="1"/>
    </w:p>
    <w:p w14:paraId="1733288E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The Financial Risk Analysis Dashboard provides an end‑to‑end view of a bank’s risk profile across Credit Risk, Market Risk, Operational Risk, and Advanced Risk Scoring &amp; Scenario Analysis.</w:t>
      </w:r>
      <w:r>
        <w:rPr>
          <w:rFonts w:hint="default" w:ascii="Calibri" w:hAnsi="Calibri" w:eastAsia="inter" w:cs="Calibri"/>
          <w:color w:val="000000"/>
        </w:rPr>
        <w:br w:type="textWrapping"/>
      </w:r>
      <w:r>
        <w:rPr>
          <w:rFonts w:hint="default" w:ascii="Calibri" w:hAnsi="Calibri" w:eastAsia="inter" w:cs="Calibri"/>
          <w:color w:val="000000"/>
        </w:rPr>
        <w:t>It helps management monitor portfolio performance, identify high‑risk clients/segments, and assess the impact of market and operational events on overall risk exposure</w:t>
      </w:r>
      <w:r>
        <w:rPr>
          <w:rFonts w:hint="default" w:ascii="Calibri" w:hAnsi="Calibri" w:cs="Calibri"/>
        </w:rP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  <w:bookmarkStart w:id="2" w:name="bm_2_data_overview"/>
      <w:r>
        <w:rPr>
          <w:rFonts w:hint="default" w:ascii="Calibri" w:hAnsi="Calibri" w:eastAsia="inter" w:cs="Calibri"/>
          <w:b/>
          <w:color w:val="000000"/>
          <w:sz w:val="24"/>
        </w:rPr>
        <w:t>2. Data Overview</w:t>
      </w:r>
      <w:bookmarkEnd w:id="2"/>
    </w:p>
    <w:p w14:paraId="6E6586D2">
      <w:pPr>
        <w:numPr>
          <w:ilvl w:val="0"/>
          <w:numId w:val="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Source: Dummy banking dataset containing loan accounts, client details, incidents, stock prices, and scenario parameters.</w:t>
      </w:r>
    </w:p>
    <w:p w14:paraId="04EBE6B7">
      <w:pPr>
        <w:numPr>
          <w:ilvl w:val="0"/>
          <w:numId w:val="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Grain:</w:t>
      </w:r>
    </w:p>
    <w:p w14:paraId="6BF3A32A">
      <w:pPr>
        <w:numPr>
          <w:ilvl w:val="1"/>
          <w:numId w:val="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Credit/Advanced Risk pages: Client‑level and loan‑level.</w:t>
      </w:r>
    </w:p>
    <w:p w14:paraId="3B5AF0F0">
      <w:pPr>
        <w:numPr>
          <w:ilvl w:val="1"/>
          <w:numId w:val="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Market Risk: Daily/Monthly security‑level prices and risk metrics.</w:t>
      </w:r>
    </w:p>
    <w:p w14:paraId="7A32F60B">
      <w:pPr>
        <w:numPr>
          <w:ilvl w:val="1"/>
          <w:numId w:val="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Operational Risk: Incident‑level loss events.</w:t>
      </w:r>
    </w:p>
    <w:p w14:paraId="2E1BC31C">
      <w:pPr>
        <w:numPr>
          <w:ilvl w:val="0"/>
          <w:numId w:val="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Main tables:</w:t>
      </w:r>
    </w:p>
    <w:p w14:paraId="6A8BA163">
      <w:pPr>
        <w:numPr>
          <w:ilvl w:val="1"/>
          <w:numId w:val="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Dim_Client (Client ID, Name, Region, Industry, Credit Score, Risk Level).</w:t>
      </w:r>
    </w:p>
    <w:p w14:paraId="46F9E140">
      <w:pPr>
        <w:numPr>
          <w:ilvl w:val="1"/>
          <w:numId w:val="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Fact_Loan (Loan ID, Loan Amount, Exposure, Default Flag, Interest Rate, Date).</w:t>
      </w:r>
    </w:p>
    <w:p w14:paraId="4D202A78">
      <w:pPr>
        <w:numPr>
          <w:ilvl w:val="1"/>
          <w:numId w:val="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Fact_Market (Date, Stock Price, Value at Risk, Portfolio Allocation).</w:t>
      </w:r>
    </w:p>
    <w:p w14:paraId="54904D21">
      <w:pPr>
        <w:numPr>
          <w:ilvl w:val="1"/>
          <w:numId w:val="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Fact_Operational (Incident ID, Category, Severity, Loss Amount, Date, Region).</w:t>
      </w:r>
    </w:p>
    <w:p w14:paraId="2584936D">
      <w:pPr>
        <w:numPr>
          <w:ilvl w:val="1"/>
          <w:numId w:val="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Scenario Parameters (Interest Rate Change %, Scenario Default Rate, Risk Buckets).</w:t>
      </w:r>
    </w:p>
    <w:p w14:paraId="5C9BB543">
      <w:pPr>
        <w:spacing w:before="315" w:after="105" w:line="360" w:lineRule="auto"/>
        <w:ind w:left="-30"/>
        <w:jc w:val="left"/>
        <w:rPr>
          <w:rFonts w:hint="default" w:ascii="Calibri" w:hAnsi="Calibri" w:cs="Calibri"/>
        </w:rPr>
      </w:pPr>
      <w:bookmarkStart w:id="3" w:name="bm_3_page_wise_documentation"/>
      <w:r>
        <w:rPr>
          <w:rFonts w:hint="default" w:ascii="Calibri" w:hAnsi="Calibri" w:eastAsia="inter" w:cs="Calibri"/>
          <w:b/>
          <w:color w:val="000000"/>
          <w:sz w:val="24"/>
        </w:rPr>
        <w:t>3. Page‑wise Documentation</w:t>
      </w:r>
      <w:bookmarkEnd w:id="3"/>
    </w:p>
    <w:p w14:paraId="0ED2EEE1">
      <w:pPr>
        <w:spacing w:before="315" w:after="105" w:line="360" w:lineRule="auto"/>
        <w:ind w:left="-30"/>
        <w:jc w:val="left"/>
        <w:rPr>
          <w:rFonts w:hint="default" w:ascii="Calibri" w:hAnsi="Calibri" w:cs="Calibri"/>
        </w:rPr>
      </w:pPr>
      <w:bookmarkStart w:id="4" w:name="introduction_page"/>
      <w:r>
        <w:rPr>
          <w:rFonts w:hint="default" w:ascii="Calibri" w:hAnsi="Calibri" w:eastAsia="inter" w:cs="Calibri"/>
          <w:b/>
          <w:color w:val="000000"/>
          <w:sz w:val="24"/>
        </w:rPr>
        <w:t>Introduction Page</w:t>
      </w:r>
      <w:bookmarkEnd w:id="4"/>
    </w:p>
    <w:p w14:paraId="06215065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Purpose: High‑level context and navigation.</w:t>
      </w:r>
    </w:p>
    <w:p w14:paraId="7956D19D">
      <w:pPr>
        <w:numPr>
          <w:ilvl w:val="0"/>
          <w:numId w:val="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Visuals:</w:t>
      </w:r>
    </w:p>
    <w:p w14:paraId="365F6A3F">
      <w:pPr>
        <w:numPr>
          <w:ilvl w:val="1"/>
          <w:numId w:val="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Background illustration related to finance and analytics.</w:t>
      </w:r>
    </w:p>
    <w:p w14:paraId="10C81ACD">
      <w:pPr>
        <w:numPr>
          <w:ilvl w:val="1"/>
          <w:numId w:val="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Text box with:</w:t>
      </w:r>
    </w:p>
    <w:p w14:paraId="666A07EA">
      <w:pPr>
        <w:numPr>
          <w:ilvl w:val="2"/>
          <w:numId w:val="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Project Name: Financial Risk Analysis Dashboard.</w:t>
      </w:r>
    </w:p>
    <w:p w14:paraId="08FD0B4D">
      <w:pPr>
        <w:numPr>
          <w:ilvl w:val="2"/>
          <w:numId w:val="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Presented By: Priyanka Bisen.</w:t>
      </w:r>
    </w:p>
    <w:p w14:paraId="4BA1F380">
      <w:pPr>
        <w:numPr>
          <w:ilvl w:val="2"/>
          <w:numId w:val="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Project Summary: Credit Risk, Operational Risk, Market Risk, Advanced Risk Scoring &amp; Scenario Analysis.</w:t>
      </w:r>
    </w:p>
    <w:p w14:paraId="303BE3D6">
      <w:pPr>
        <w:numPr>
          <w:ilvl w:val="0"/>
          <w:numId w:val="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Usage:</w:t>
      </w:r>
    </w:p>
    <w:p w14:paraId="197EFE2E">
      <w:pPr>
        <w:numPr>
          <w:ilvl w:val="1"/>
          <w:numId w:val="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Acts as a cover page for stakeholder demonstrations.</w:t>
      </w:r>
    </w:p>
    <w:p w14:paraId="251E5C95">
      <w:pPr>
        <w:numPr>
          <w:ilvl w:val="1"/>
          <w:numId w:val="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Provides quick understanding of the scope before diving into detailed tabs.</w:t>
      </w:r>
    </w:p>
    <w:p w14:paraId="572CE626">
      <w:pPr>
        <w:spacing w:before="210" w:after="0"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  <w:bookmarkStart w:id="5" w:name="credit_risk_page"/>
      <w:r>
        <w:rPr>
          <w:rFonts w:hint="default" w:ascii="Calibri" w:hAnsi="Calibri" w:eastAsia="inter" w:cs="Calibri"/>
          <w:b/>
          <w:color w:val="000000"/>
          <w:sz w:val="24"/>
        </w:rPr>
        <w:t>Credit Risk Page</w:t>
      </w:r>
      <w:bookmarkEnd w:id="5"/>
    </w:p>
    <w:p w14:paraId="3D25B332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Purpose: Assess credit portfolio health and default trends at sector, region, and client levels.</w:t>
      </w:r>
    </w:p>
    <w:p w14:paraId="1866936D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Key KPIs (Cards at top):</w:t>
      </w:r>
    </w:p>
    <w:p w14:paraId="3A76AFED">
      <w:pPr>
        <w:numPr>
          <w:ilvl w:val="0"/>
          <w:numId w:val="3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Total Loans: Total number of active loans (e.g., 1.00K).</w:t>
      </w:r>
    </w:p>
    <w:p w14:paraId="22455B02">
      <w:pPr>
        <w:numPr>
          <w:ilvl w:val="0"/>
          <w:numId w:val="3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Total Loan Exposure: Sum of outstanding principal across loans (e.g., 104.64M).</w:t>
      </w:r>
    </w:p>
    <w:p w14:paraId="1E572CB2">
      <w:pPr>
        <w:numPr>
          <w:ilvl w:val="0"/>
          <w:numId w:val="3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Defaulted Loans: Count of loans flagged as default (e.g., 350).</w:t>
      </w:r>
    </w:p>
    <w:p w14:paraId="69DAD073">
      <w:pPr>
        <w:numPr>
          <w:ilvl w:val="0"/>
          <w:numId w:val="3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Credit Default Rate (%): Defaulted Loans / Total Loans expressed as a percentage (e.g., 35.00%).</w:t>
      </w:r>
    </w:p>
    <w:p w14:paraId="379EEF32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Filters/Slicers:</w:t>
      </w:r>
    </w:p>
    <w:p w14:paraId="01E10404">
      <w:pPr>
        <w:numPr>
          <w:ilvl w:val="0"/>
          <w:numId w:val="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Date: Filter by booking or reporting date.</w:t>
      </w:r>
    </w:p>
    <w:p w14:paraId="2FAD795B">
      <w:pPr>
        <w:numPr>
          <w:ilvl w:val="0"/>
          <w:numId w:val="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Region: Central, East, North, South, West, or All.</w:t>
      </w:r>
    </w:p>
    <w:p w14:paraId="19C771D7">
      <w:pPr>
        <w:numPr>
          <w:ilvl w:val="0"/>
          <w:numId w:val="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Industry Sector: Energy, Finance, Healthcare, Retail, Technology, or All.</w:t>
      </w:r>
    </w:p>
    <w:p w14:paraId="01B30EA7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Visuals:</w:t>
      </w:r>
    </w:p>
    <w:p w14:paraId="1C55972F">
      <w:pPr>
        <w:numPr>
          <w:ilvl w:val="0"/>
          <w:numId w:val="5"/>
        </w:num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Default Rate by Sector and Region (Matrix</w:t>
      </w:r>
      <w:bookmarkStart w:id="15" w:name="_GoBack"/>
      <w:bookmarkEnd w:id="15"/>
      <w:r>
        <w:rPr>
          <w:rFonts w:hint="default" w:ascii="Calibri" w:hAnsi="Calibri" w:eastAsia="inter" w:cs="Calibri"/>
          <w:color w:val="000000"/>
          <w:sz w:val="21"/>
        </w:rPr>
        <w:t>)</w:t>
      </w:r>
    </w:p>
    <w:p w14:paraId="138FAE0A">
      <w:pPr>
        <w:numPr>
          <w:ilvl w:val="1"/>
          <w:numId w:val="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Rows: Industry Sector.</w:t>
      </w:r>
    </w:p>
    <w:p w14:paraId="77563D37">
      <w:pPr>
        <w:numPr>
          <w:ilvl w:val="1"/>
          <w:numId w:val="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Columns: Region (Central, East, North, South, West).</w:t>
      </w:r>
    </w:p>
    <w:p w14:paraId="29694531">
      <w:pPr>
        <w:numPr>
          <w:ilvl w:val="1"/>
          <w:numId w:val="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Values: Default Rate (%) per sector–region combination.</w:t>
      </w:r>
    </w:p>
    <w:p w14:paraId="6B8D3FFD">
      <w:pPr>
        <w:numPr>
          <w:ilvl w:val="1"/>
          <w:numId w:val="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Use case: Identify pockets of stress (e.g., high default rate in Healthcare–West or Retail–East).</w:t>
      </w:r>
    </w:p>
    <w:p w14:paraId="33AC7101">
      <w:pPr>
        <w:numPr>
          <w:ilvl w:val="0"/>
          <w:numId w:val="5"/>
        </w:num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Defaulted Loan Amount by Client (Bar Chart)</w:t>
      </w:r>
    </w:p>
    <w:p w14:paraId="4AD980F3">
      <w:pPr>
        <w:numPr>
          <w:ilvl w:val="1"/>
          <w:numId w:val="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Axis: Client Name/ID with defaults.</w:t>
      </w:r>
    </w:p>
    <w:p w14:paraId="324EC162">
      <w:pPr>
        <w:numPr>
          <w:ilvl w:val="1"/>
          <w:numId w:val="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Values: Sum of defaulted loan amount.</w:t>
      </w:r>
    </w:p>
    <w:p w14:paraId="57F4F55C">
      <w:pPr>
        <w:numPr>
          <w:ilvl w:val="1"/>
          <w:numId w:val="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Use case: Pinpoint top default‑contributing clients for collection and restructuring actions.</w:t>
      </w:r>
    </w:p>
    <w:p w14:paraId="583FC0D2">
      <w:pPr>
        <w:numPr>
          <w:ilvl w:val="0"/>
          <w:numId w:val="5"/>
        </w:num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Client Risk Table (Table)</w:t>
      </w:r>
    </w:p>
    <w:p w14:paraId="2A0828CA">
      <w:pPr>
        <w:numPr>
          <w:ilvl w:val="1"/>
          <w:numId w:val="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Columns: Client Name, Credit Score, Loan Amount, Client Risk Level (High, Medium, Low).</w:t>
      </w:r>
    </w:p>
    <w:p w14:paraId="66CB94D7">
      <w:pPr>
        <w:numPr>
          <w:ilvl w:val="1"/>
          <w:numId w:val="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Use case: Review individual client risk profile and exposure for relationship managers.</w:t>
      </w:r>
    </w:p>
    <w:p w14:paraId="27C09AA0">
      <w:pPr>
        <w:spacing w:before="210" w:after="0"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DD229B0">
      <w:pPr>
        <w:spacing w:before="315" w:after="105" w:line="360" w:lineRule="auto"/>
        <w:ind w:left="-30"/>
        <w:jc w:val="left"/>
        <w:rPr>
          <w:rFonts w:hint="default" w:ascii="Calibri" w:hAnsi="Calibri" w:cs="Calibri"/>
        </w:rPr>
      </w:pPr>
      <w:bookmarkStart w:id="6" w:name="market_risk_page"/>
      <w:r>
        <w:rPr>
          <w:rFonts w:hint="default" w:ascii="Calibri" w:hAnsi="Calibri" w:eastAsia="inter" w:cs="Calibri"/>
          <w:b/>
          <w:color w:val="000000"/>
          <w:sz w:val="24"/>
        </w:rPr>
        <w:t>Market Risk Page</w:t>
      </w:r>
      <w:bookmarkEnd w:id="6"/>
    </w:p>
    <w:p w14:paraId="56F88CBD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Purpose: Track exposure to market movements such as equity prices, value at risk (VaR), and FX risk.</w:t>
      </w:r>
    </w:p>
    <w:p w14:paraId="3294749E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Key KPIs:</w:t>
      </w:r>
    </w:p>
    <w:p w14:paraId="1A843EED">
      <w:pPr>
        <w:numPr>
          <w:ilvl w:val="0"/>
          <w:numId w:val="6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Avg Stock Price: Average security price over the selected period (e.g., 1.03K).</w:t>
      </w:r>
    </w:p>
    <w:p w14:paraId="23041444">
      <w:pPr>
        <w:numPr>
          <w:ilvl w:val="0"/>
          <w:numId w:val="6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Avg Value at Risk: Mean VaR measure indicating potential loss at a confidence level (e.g., 0.06).</w:t>
      </w:r>
    </w:p>
    <w:p w14:paraId="5A52DAA5">
      <w:pPr>
        <w:numPr>
          <w:ilvl w:val="0"/>
          <w:numId w:val="6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Portfolio Allocation (%): Average proportion of capital allocated across instruments/regions (e.g., 49.06%).</w:t>
      </w:r>
    </w:p>
    <w:p w14:paraId="362BC360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Filters/Slicers:</w:t>
      </w:r>
    </w:p>
    <w:p w14:paraId="7F876720">
      <w:pPr>
        <w:numPr>
          <w:ilvl w:val="0"/>
          <w:numId w:val="7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Date: Analysis period (daily/monthly).</w:t>
      </w:r>
    </w:p>
    <w:p w14:paraId="42BEEB9B">
      <w:pPr>
        <w:numPr>
          <w:ilvl w:val="0"/>
          <w:numId w:val="7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Region: Geographic segmentation.</w:t>
      </w:r>
    </w:p>
    <w:p w14:paraId="303C676A">
      <w:pPr>
        <w:numPr>
          <w:ilvl w:val="0"/>
          <w:numId w:val="7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Industry Sector: Sector‑wise market exposure.</w:t>
      </w:r>
    </w:p>
    <w:p w14:paraId="317DAA08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Visuals:</w:t>
      </w:r>
    </w:p>
    <w:p w14:paraId="33429801">
      <w:pPr>
        <w:numPr>
          <w:ilvl w:val="0"/>
          <w:numId w:val="8"/>
        </w:num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Stock Price Trend (Area Chart)</w:t>
      </w:r>
    </w:p>
    <w:p w14:paraId="64E7E98B">
      <w:pPr>
        <w:numPr>
          <w:ilvl w:val="1"/>
          <w:numId w:val="8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X‑axis: Date.</w:t>
      </w:r>
    </w:p>
    <w:p w14:paraId="7EA1ACF6">
      <w:pPr>
        <w:numPr>
          <w:ilvl w:val="1"/>
          <w:numId w:val="8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Y‑axis: Stock Price.</w:t>
      </w:r>
    </w:p>
    <w:p w14:paraId="7604B014">
      <w:pPr>
        <w:numPr>
          <w:ilvl w:val="1"/>
          <w:numId w:val="8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Use case: Observe price trend and volatility; identify periods of decline or recovery.</w:t>
      </w:r>
    </w:p>
    <w:p w14:paraId="372AB179">
      <w:pPr>
        <w:numPr>
          <w:ilvl w:val="0"/>
          <w:numId w:val="8"/>
        </w:num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VaR Change (Column Chart)</w:t>
      </w:r>
    </w:p>
    <w:p w14:paraId="4776E9C3">
      <w:pPr>
        <w:numPr>
          <w:ilvl w:val="1"/>
          <w:numId w:val="8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X‑axis: Date or Time bucket.</w:t>
      </w:r>
    </w:p>
    <w:p w14:paraId="0A17B3AB">
      <w:pPr>
        <w:numPr>
          <w:ilvl w:val="1"/>
          <w:numId w:val="8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Y‑axis: VaR value.</w:t>
      </w:r>
    </w:p>
    <w:p w14:paraId="05C0D44F">
      <w:pPr>
        <w:numPr>
          <w:ilvl w:val="1"/>
          <w:numId w:val="8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Use case: Track changes in riskiness of the portfolio over time.</w:t>
      </w:r>
    </w:p>
    <w:p w14:paraId="618B0F9D">
      <w:pPr>
        <w:numPr>
          <w:ilvl w:val="0"/>
          <w:numId w:val="8"/>
        </w:num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Currency Exchange Risk by Region (Map)</w:t>
      </w:r>
    </w:p>
    <w:p w14:paraId="15B3DCB3">
      <w:pPr>
        <w:numPr>
          <w:ilvl w:val="1"/>
          <w:numId w:val="8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Location: Regions/Countries.</w:t>
      </w:r>
    </w:p>
    <w:p w14:paraId="2E410095">
      <w:pPr>
        <w:numPr>
          <w:ilvl w:val="1"/>
          <w:numId w:val="8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Value: FX risk metric or FX‑related VaR.</w:t>
      </w:r>
    </w:p>
    <w:p w14:paraId="4FE23B39">
      <w:pPr>
        <w:numPr>
          <w:ilvl w:val="1"/>
          <w:numId w:val="8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Use case: Highlight regions with higher currency risk exposure for hedging or rebalancing decisions.</w:t>
      </w:r>
    </w:p>
    <w:p w14:paraId="0DCFEE42">
      <w:pPr>
        <w:spacing w:before="210" w:after="0"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39BDF64">
      <w:pPr>
        <w:spacing w:before="315" w:after="105" w:line="360" w:lineRule="auto"/>
        <w:ind w:left="-30"/>
        <w:jc w:val="left"/>
        <w:rPr>
          <w:rFonts w:hint="default" w:ascii="Calibri" w:hAnsi="Calibri" w:cs="Calibri"/>
        </w:rPr>
      </w:pPr>
      <w:bookmarkStart w:id="7" w:name="operational_risk_page"/>
      <w:r>
        <w:rPr>
          <w:rFonts w:hint="default" w:ascii="Calibri" w:hAnsi="Calibri" w:eastAsia="inter" w:cs="Calibri"/>
          <w:b/>
          <w:color w:val="000000"/>
          <w:sz w:val="24"/>
        </w:rPr>
        <w:t>Operational Risk Page</w:t>
      </w:r>
      <w:bookmarkEnd w:id="7"/>
    </w:p>
    <w:p w14:paraId="31421FC0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Purpose: Understand the impact of internal and external incidents on financial losses.</w:t>
      </w:r>
    </w:p>
    <w:p w14:paraId="151BF926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Key KPIs:</w:t>
      </w:r>
    </w:p>
    <w:p w14:paraId="4EEC0925">
      <w:pPr>
        <w:numPr>
          <w:ilvl w:val="0"/>
          <w:numId w:val="9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Total Loss Amount: Sum of loss amounts from all incidents (e.g., 25.26M).</w:t>
      </w:r>
    </w:p>
    <w:p w14:paraId="7DEA4641">
      <w:pPr>
        <w:numPr>
          <w:ilvl w:val="0"/>
          <w:numId w:val="9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Incident Count: Number of recorded incidents (e.g., 1K).</w:t>
      </w:r>
    </w:p>
    <w:p w14:paraId="75C43E6F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Filters/Slicers:</w:t>
      </w:r>
    </w:p>
    <w:p w14:paraId="32AFED87">
      <w:pPr>
        <w:numPr>
          <w:ilvl w:val="0"/>
          <w:numId w:val="10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Date: Incident date range.</w:t>
      </w:r>
    </w:p>
    <w:p w14:paraId="622EA70F">
      <w:pPr>
        <w:numPr>
          <w:ilvl w:val="0"/>
          <w:numId w:val="10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Region: Location of incident.</w:t>
      </w:r>
    </w:p>
    <w:p w14:paraId="26430B99">
      <w:pPr>
        <w:numPr>
          <w:ilvl w:val="0"/>
          <w:numId w:val="10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Incident Category: Natural Disaster, Human Error, System Failure, Fraud, etc.</w:t>
      </w:r>
    </w:p>
    <w:p w14:paraId="0471FACE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Visuals:</w:t>
      </w:r>
    </w:p>
    <w:p w14:paraId="4D824E31">
      <w:pPr>
        <w:numPr>
          <w:ilvl w:val="0"/>
          <w:numId w:val="11"/>
        </w:num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Risk Severity Distribution (Radar Chart)</w:t>
      </w:r>
    </w:p>
    <w:p w14:paraId="416D97B9">
      <w:pPr>
        <w:numPr>
          <w:ilvl w:val="1"/>
          <w:numId w:val="1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Axes: Severity levels (Low, Medium, High).</w:t>
      </w:r>
    </w:p>
    <w:p w14:paraId="421FC143">
      <w:pPr>
        <w:numPr>
          <w:ilvl w:val="1"/>
          <w:numId w:val="1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Value: Count or share of incidents per severity.</w:t>
      </w:r>
    </w:p>
    <w:p w14:paraId="67E21F2B">
      <w:pPr>
        <w:numPr>
          <w:ilvl w:val="1"/>
          <w:numId w:val="1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Use case: Understand whether the profile is skewed towards low‑severity frequent events or infrequent high‑severity events.</w:t>
      </w:r>
    </w:p>
    <w:p w14:paraId="241E578C">
      <w:pPr>
        <w:numPr>
          <w:ilvl w:val="0"/>
          <w:numId w:val="11"/>
        </w:num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Incidents by Category (Clustered Column Chart)</w:t>
      </w:r>
    </w:p>
    <w:p w14:paraId="5DC70FCC">
      <w:pPr>
        <w:numPr>
          <w:ilvl w:val="1"/>
          <w:numId w:val="1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X‑axis: Incident Category.</w:t>
      </w:r>
    </w:p>
    <w:p w14:paraId="3BE9C8CE">
      <w:pPr>
        <w:numPr>
          <w:ilvl w:val="1"/>
          <w:numId w:val="1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Y‑axis: Incident Count or Loss Amount.</w:t>
      </w:r>
    </w:p>
    <w:p w14:paraId="79FBECBA">
      <w:pPr>
        <w:numPr>
          <w:ilvl w:val="1"/>
          <w:numId w:val="1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Legend: Region or Severity (depending on configuration).</w:t>
      </w:r>
    </w:p>
    <w:p w14:paraId="001A551F">
      <w:pPr>
        <w:numPr>
          <w:ilvl w:val="1"/>
          <w:numId w:val="11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Use case: Identify key sources of operational risk losses (e.g., high fraud events vs system failures).</w:t>
      </w:r>
    </w:p>
    <w:p w14:paraId="00ACF223">
      <w:pPr>
        <w:spacing w:before="210" w:after="0"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C44C93D">
      <w:pPr>
        <w:spacing w:before="315" w:after="105" w:line="360" w:lineRule="auto"/>
        <w:ind w:left="-30"/>
        <w:jc w:val="left"/>
        <w:rPr>
          <w:rFonts w:hint="default" w:ascii="Calibri" w:hAnsi="Calibri" w:cs="Calibri"/>
        </w:rPr>
      </w:pPr>
      <w:bookmarkStart w:id="8" w:name="advanced_risk_scoring_scenario_an_957ce9"/>
      <w:r>
        <w:rPr>
          <w:rFonts w:hint="default" w:ascii="Calibri" w:hAnsi="Calibri" w:eastAsia="inter" w:cs="Calibri"/>
          <w:b/>
          <w:color w:val="000000"/>
          <w:sz w:val="24"/>
        </w:rPr>
        <w:t>Advanced Risk Scoring &amp; Scenario Analysis Page</w:t>
      </w:r>
      <w:bookmarkEnd w:id="8"/>
    </w:p>
    <w:p w14:paraId="320AFF26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Purpose: Perform what‑if analysis on interest rates and default rates and view impact on client‑level risk.</w:t>
      </w:r>
    </w:p>
    <w:p w14:paraId="74C54634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Key KPIs:</w:t>
      </w:r>
    </w:p>
    <w:p w14:paraId="3BBC4195">
      <w:pPr>
        <w:numPr>
          <w:ilvl w:val="0"/>
          <w:numId w:val="1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Scenario Defaulted Loans: Expected number of defaults under scenario assumptions (e.g., 339).</w:t>
      </w:r>
    </w:p>
    <w:p w14:paraId="338E5417">
      <w:pPr>
        <w:numPr>
          <w:ilvl w:val="0"/>
          <w:numId w:val="1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Scenario Default Rate (%): Projected default rate for the selected scenario (e.g., 0.34).</w:t>
      </w:r>
    </w:p>
    <w:p w14:paraId="17A5A023">
      <w:pPr>
        <w:numPr>
          <w:ilvl w:val="0"/>
          <w:numId w:val="1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High Risk Clients: Count of clients classified as high risk under scenario.</w:t>
      </w:r>
    </w:p>
    <w:p w14:paraId="54C9CBBF">
      <w:pPr>
        <w:numPr>
          <w:ilvl w:val="0"/>
          <w:numId w:val="1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Medium Risk Clients: Count of medium risk clients.</w:t>
      </w:r>
    </w:p>
    <w:p w14:paraId="0E4003F8">
      <w:pPr>
        <w:numPr>
          <w:ilvl w:val="0"/>
          <w:numId w:val="12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Low Risk Clients: Count of low risk clients.</w:t>
      </w:r>
    </w:p>
    <w:p w14:paraId="70BF1A87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Scenario Control:</w:t>
      </w:r>
    </w:p>
    <w:p w14:paraId="7188CED9">
      <w:pPr>
        <w:numPr>
          <w:ilvl w:val="0"/>
          <w:numId w:val="13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Interest Rate Change (%) Slicer: Slider that allows modifying interest rate shock (e.g., from 3.21% to 12.00%).</w:t>
      </w:r>
    </w:p>
    <w:p w14:paraId="693A4C14">
      <w:pPr>
        <w:numPr>
          <w:ilvl w:val="0"/>
          <w:numId w:val="13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Logic (conceptual): As interest rate change increases, risk amount and scenario default probabilities rise, affecting risk level distribution.</w:t>
      </w:r>
    </w:p>
    <w:p w14:paraId="57B1858B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t>Client Scenario Table:</w:t>
      </w:r>
    </w:p>
    <w:p w14:paraId="5CC387DD">
      <w:pPr>
        <w:numPr>
          <w:ilvl w:val="0"/>
          <w:numId w:val="1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Columns:</w:t>
      </w:r>
    </w:p>
    <w:p w14:paraId="38E73AB6">
      <w:pPr>
        <w:numPr>
          <w:ilvl w:val="1"/>
          <w:numId w:val="1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Client ID.</w:t>
      </w:r>
    </w:p>
    <w:p w14:paraId="3B423B63">
      <w:pPr>
        <w:numPr>
          <w:ilvl w:val="1"/>
          <w:numId w:val="1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Sum of Credit Score.</w:t>
      </w:r>
    </w:p>
    <w:p w14:paraId="6936F407">
      <w:pPr>
        <w:numPr>
          <w:ilvl w:val="1"/>
          <w:numId w:val="1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Risk Amount: Expected loss or exposure amount.</w:t>
      </w:r>
    </w:p>
    <w:p w14:paraId="3EBB39B2">
      <w:pPr>
        <w:numPr>
          <w:ilvl w:val="1"/>
          <w:numId w:val="1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Adjusted Interest Rate: Base rate plus chosen interest rate change.</w:t>
      </w:r>
    </w:p>
    <w:p w14:paraId="124F8F37">
      <w:pPr>
        <w:numPr>
          <w:ilvl w:val="1"/>
          <w:numId w:val="1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Scenario Default Rate (%): Probability of default under scenario.</w:t>
      </w:r>
    </w:p>
    <w:p w14:paraId="4BFD0A3E">
      <w:pPr>
        <w:numPr>
          <w:ilvl w:val="1"/>
          <w:numId w:val="1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Risk Level: High/Medium/Low with colored indicators (red, orange, green).</w:t>
      </w:r>
    </w:p>
    <w:p w14:paraId="69B6307F">
      <w:pPr>
        <w:numPr>
          <w:ilvl w:val="0"/>
          <w:numId w:val="1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Use case:</w:t>
      </w:r>
    </w:p>
    <w:p w14:paraId="1C647C9B">
      <w:pPr>
        <w:numPr>
          <w:ilvl w:val="1"/>
          <w:numId w:val="1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Identify clients whose risk level deteriorates under stressed conditions.</w:t>
      </w:r>
    </w:p>
    <w:p w14:paraId="32F88D13">
      <w:pPr>
        <w:numPr>
          <w:ilvl w:val="1"/>
          <w:numId w:val="14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Prioritize accounts for proactive intervention.</w:t>
      </w:r>
    </w:p>
    <w:p w14:paraId="1AEEAB9B">
      <w:pPr>
        <w:spacing w:before="210" w:after="0"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  <w:bookmarkStart w:id="9" w:name="bm_4_navigation_and_usage_notes"/>
      <w:r>
        <w:rPr>
          <w:rFonts w:hint="default" w:ascii="Calibri" w:hAnsi="Calibri" w:eastAsia="inter" w:cs="Calibri"/>
          <w:b/>
          <w:color w:val="000000"/>
          <w:sz w:val="24"/>
        </w:rPr>
        <w:t>4. Navigation and Usage Notes</w:t>
      </w:r>
      <w:bookmarkEnd w:id="9"/>
    </w:p>
    <w:p w14:paraId="71A42F0F">
      <w:pPr>
        <w:numPr>
          <w:ilvl w:val="0"/>
          <w:numId w:val="1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Page sequence: Introduction → Credit Risk → Market Risk → Operational Risk → Advanced Risk Scoring &amp; Scenario Analysis.</w:t>
      </w:r>
    </w:p>
    <w:p w14:paraId="4A6D8356">
      <w:pPr>
        <w:numPr>
          <w:ilvl w:val="0"/>
          <w:numId w:val="1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All slicers are synchronized where appropriate (Date, Region, Sector) to maintain consistency when moving between pages.</w:t>
      </w:r>
    </w:p>
    <w:p w14:paraId="05E8949B">
      <w:pPr>
        <w:numPr>
          <w:ilvl w:val="0"/>
          <w:numId w:val="1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Intended users:</w:t>
      </w:r>
    </w:p>
    <w:p w14:paraId="0E48944B">
      <w:pPr>
        <w:numPr>
          <w:ilvl w:val="1"/>
          <w:numId w:val="1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Senior management and risk committee members for strategic decisions.</w:t>
      </w:r>
    </w:p>
    <w:p w14:paraId="24899EF7">
      <w:pPr>
        <w:numPr>
          <w:ilvl w:val="1"/>
          <w:numId w:val="15"/>
        </w:numPr>
        <w:spacing w:before="105" w:after="105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  <w:sz w:val="21"/>
        </w:rPr>
        <w:t>Risk analysts for drill‑down analysis and scenario modelling.</w:t>
      </w:r>
    </w:p>
    <w:p w14:paraId="27234A7B">
      <w:pPr>
        <w:spacing w:after="210" w:line="360" w:lineRule="auto"/>
        <w:rPr>
          <w:rFonts w:hint="default" w:ascii="Calibri" w:hAnsi="Calibri" w:cs="Calibri"/>
        </w:rPr>
      </w:pPr>
      <w:r>
        <w:rPr>
          <w:rFonts w:hint="default" w:ascii="Calibri" w:hAnsi="Calibri" w:eastAsia="inter" w:cs="Calibri"/>
          <w:color w:val="000000"/>
        </w:rPr>
        <w:br w:type="textWrapping"/>
      </w:r>
      <w:bookmarkStart w:id="10" w:name="fn1"/>
      <w:bookmarkEnd w:id="10"/>
      <w:bookmarkStart w:id="11" w:name="fn2"/>
      <w:bookmarkEnd w:id="11"/>
      <w:bookmarkStart w:id="12" w:name="fn3"/>
      <w:bookmarkEnd w:id="12"/>
      <w:bookmarkStart w:id="13" w:name="fn4"/>
      <w:bookmarkEnd w:id="13"/>
      <w:bookmarkStart w:id="14" w:name="fn5"/>
      <w:bookmarkEnd w:id="14"/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198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7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9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0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1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2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3">
    <w:nsid w:val="5A241D34"/>
    <w:multiLevelType w:val="singleLevel"/>
    <w:tmpl w:val="5A241D3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4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85A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2025-12-24T07:23:00Z</dcterms:created>
  <dc:creator>html-to-docx</dc:creator>
  <cp:keywords>html-to-docx</cp:keywords>
  <cp:lastModifiedBy>Priyanka Bisen</cp:lastModifiedBy>
  <dcterms:modified xsi:type="dcterms:W3CDTF">2025-12-24T07:27:46Z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7607DDD64B7646F4B3C5A071263FBDB6_12</vt:lpwstr>
  </property>
</Properties>
</file>