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F0207CF" w:rsidP="646CEEA5" w:rsidRDefault="6F0207CF" w14:paraId="0D2F6F23" w14:textId="4219B58E">
      <w:pPr>
        <w:spacing w:after="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46CEEA5" w:rsidR="6F0207C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Yiwen Ma 1009691576</w:t>
      </w:r>
    </w:p>
    <w:p xmlns:wp14="http://schemas.microsoft.com/office/word/2010/wordml" w:rsidP="646CEEA5" w14:paraId="2C078E63" wp14:textId="49188E10">
      <w:pPr>
        <w:spacing w:after="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bookmarkStart w:name="_GoBack" w:id="0"/>
      <w:bookmarkEnd w:id="0"/>
      <w:r w:rsidRPr="646CEEA5" w:rsidR="236DCF5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Introduction </w:t>
      </w:r>
    </w:p>
    <w:p w:rsidR="236DCF51" w:rsidP="646CEEA5" w:rsidRDefault="236DCF51" w14:paraId="29079F56" w14:textId="39BEB426">
      <w:pPr>
        <w:pStyle w:val="Normal"/>
        <w:spacing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46CEEA5" w:rsidR="61232B3A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Data visualization refers to the way that </w:t>
      </w:r>
      <w:r w:rsidRPr="646CEEA5" w:rsidR="29AFDC79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presents</w:t>
      </w:r>
      <w:r w:rsidRPr="646CEEA5" w:rsidR="61232B3A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information and data in a graphical way</w:t>
      </w:r>
      <w:r w:rsidRPr="646CEEA5" w:rsidR="3A2470E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that provides an easier accessible way to see and understand trends, patterns and findings in a dataset. Especially, it can make audiences without </w:t>
      </w:r>
      <w:r w:rsidRPr="646CEEA5" w:rsidR="2CD50F1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pre-</w:t>
      </w:r>
      <w:r w:rsidRPr="646CEEA5" w:rsidR="3A2470E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</w:t>
      </w:r>
      <w:r w:rsidRPr="646CEEA5" w:rsidR="36EA092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onte</w:t>
      </w:r>
      <w:r w:rsidRPr="646CEEA5" w:rsidR="6E3725EC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x</w:t>
      </w:r>
      <w:r w:rsidRPr="646CEEA5" w:rsidR="36EA092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ts </w:t>
      </w:r>
      <w:r w:rsidRPr="646CEEA5" w:rsidR="349C252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understand</w:t>
      </w:r>
      <w:r w:rsidRPr="646CEEA5" w:rsidR="78FB020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the messages </w:t>
      </w:r>
      <w:r w:rsidRPr="646CEEA5" w:rsidR="5C748BB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in the graphs without confusion. </w:t>
      </w:r>
    </w:p>
    <w:p w:rsidR="236DCF51" w:rsidP="646CEEA5" w:rsidRDefault="236DCF51" w14:paraId="5C3DB004" w14:textId="5443E45B">
      <w:pPr>
        <w:pStyle w:val="Normal"/>
        <w:bidi w:val="0"/>
        <w:spacing w:before="0" w:beforeAutospacing="off" w:after="0" w:afterAutospacing="off" w:line="360" w:lineRule="auto"/>
        <w:ind w:left="0" w:right="0" w:firstLine="0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</w:pPr>
      <w:r w:rsidRPr="646CEEA5" w:rsidR="0C77F10A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The aim of this write up is to provide graphic representations of International Migrant Trends in different </w:t>
      </w:r>
      <w:r w:rsidRPr="646CEEA5" w:rsidR="7163549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continents from 1995 to 2015</w:t>
      </w:r>
      <w:r w:rsidRPr="646CEEA5" w:rsidR="161F8C43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with a focus on female migrants</w:t>
      </w:r>
      <w:r w:rsidRPr="646CEEA5" w:rsidR="7163549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.</w:t>
      </w:r>
      <w:r w:rsidRPr="646CEEA5" w:rsidR="157E9E8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646CEEA5" w:rsidR="157E9E8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There are some interesting </w:t>
      </w:r>
      <w:r w:rsidRPr="646CEEA5" w:rsidR="10B1A61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macro level </w:t>
      </w:r>
      <w:r w:rsidRPr="646CEEA5" w:rsidR="542383C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findings that</w:t>
      </w:r>
      <w:r w:rsidRPr="646CEEA5" w:rsidR="157E9E8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646CEEA5" w:rsidR="7E7ABFD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attract</w:t>
      </w:r>
      <w:r w:rsidRPr="646CEEA5" w:rsidR="32F1C43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646CEEA5" w:rsidR="157E9E8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my </w:t>
      </w:r>
      <w:r w:rsidRPr="646CEEA5" w:rsidR="769FF9C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attention</w:t>
      </w:r>
      <w:r w:rsidRPr="646CEEA5" w:rsidR="157E9E8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from International Migration 2020 Highlights by UN</w:t>
      </w:r>
      <w:r w:rsidRPr="646CEEA5" w:rsidR="33C53B4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.</w:t>
      </w:r>
      <w:r w:rsidRPr="646CEEA5" w:rsidR="33C53B4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This reported stated that </w:t>
      </w:r>
      <w:r w:rsidRPr="646CEEA5" w:rsidR="5EC0D83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Europe and North America are the top two destination for international migrants and </w:t>
      </w:r>
      <w:r w:rsidRPr="646CEEA5" w:rsidR="6FEB033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n</w:t>
      </w:r>
      <w:r w:rsidRPr="646CEEA5" w:rsidR="5EC0D83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early half of all international migrants worldwide </w:t>
      </w:r>
      <w:r w:rsidRPr="646CEEA5" w:rsidR="5EC0D83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were women or girls</w:t>
      </w:r>
      <w:r w:rsidRPr="646CEEA5" w:rsidR="071EE11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(United Nations, 2021)</w:t>
      </w:r>
      <w:r w:rsidRPr="646CEEA5" w:rsidR="5EC0D83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.</w:t>
      </w:r>
      <w:r w:rsidRPr="646CEEA5" w:rsidR="0F2B642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With this result as of 2020, I am curious about what the trends and patterns </w:t>
      </w:r>
      <w:r w:rsidRPr="646CEEA5" w:rsidR="0D85777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will </w:t>
      </w:r>
      <w:r w:rsidRPr="646CEEA5" w:rsidR="0F2B642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be like in the past as for </w:t>
      </w:r>
      <w:r w:rsidRPr="646CEEA5" w:rsidR="6B3EBB0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migrant's</w:t>
      </w:r>
      <w:r w:rsidRPr="646CEEA5" w:rsidR="0F2B642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destinations and gender </w:t>
      </w:r>
      <w:r w:rsidRPr="646CEEA5" w:rsidR="0F9B3AB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distribution.</w:t>
      </w:r>
      <w:r w:rsidRPr="646CEEA5" w:rsidR="75E42FA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Thus, this </w:t>
      </w:r>
      <w:r w:rsidRPr="646CEEA5" w:rsidR="39DB9A7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write</w:t>
      </w:r>
      <w:r w:rsidRPr="646CEEA5" w:rsidR="75E42FA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up </w:t>
      </w:r>
      <w:r w:rsidRPr="646CEEA5" w:rsidR="0DE6465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will</w:t>
      </w:r>
      <w:r w:rsidRPr="646CEEA5" w:rsidR="75E42FA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focus on analyzing international migrant stock in continent and</w:t>
      </w:r>
      <w:r w:rsidRPr="646CEEA5" w:rsidR="4D1B0A2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gender level</w:t>
      </w:r>
      <w:r w:rsidRPr="646CEEA5" w:rsidR="1D83FA4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, with focus on female.</w:t>
      </w:r>
    </w:p>
    <w:p w:rsidR="236DCF51" w:rsidP="646CEEA5" w:rsidRDefault="236DCF51" w14:paraId="71815D65" w14:textId="20C93659">
      <w:pPr>
        <w:pStyle w:val="Normal"/>
        <w:bidi w:val="0"/>
        <w:spacing w:before="0" w:beforeAutospacing="off" w:after="160" w:afterAutospacing="off" w:line="360" w:lineRule="auto"/>
        <w:ind w:left="0" w:right="0" w:firstLine="0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</w:pPr>
      <w:r w:rsidRPr="646CEEA5" w:rsidR="7196A96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All datasets used for this assignment are from previous data cleaning </w:t>
      </w:r>
      <w:r w:rsidRPr="646CEEA5" w:rsidR="54FDAC0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projects</w:t>
      </w:r>
      <w:r w:rsidRPr="646CEEA5" w:rsidR="7196A96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. </w:t>
      </w:r>
      <w:r w:rsidRPr="646CEEA5" w:rsidR="7196A96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Cleaned Table 1, Table </w:t>
      </w:r>
      <w:r w:rsidRPr="646CEEA5" w:rsidR="4F1B47C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2</w:t>
      </w:r>
      <w:r w:rsidRPr="646CEEA5" w:rsidR="03E4795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, </w:t>
      </w:r>
      <w:r w:rsidRPr="646CEEA5" w:rsidR="77B1AC1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Table 3, </w:t>
      </w:r>
      <w:r w:rsidRPr="646CEEA5" w:rsidR="7196A96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Table 4 and </w:t>
      </w:r>
      <w:r w:rsidRPr="646CEEA5" w:rsidR="6BB4452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Table 5 are selected to use which provide comprehensive data on international migrant stock</w:t>
      </w:r>
      <w:r w:rsidRPr="646CEEA5" w:rsidR="137B11E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and stock trends </w:t>
      </w:r>
      <w:r w:rsidRPr="646CEEA5" w:rsidR="6BB4452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from 1995 – 2015. </w:t>
      </w:r>
      <w:r w:rsidRPr="646CEEA5" w:rsidR="6BB4452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All previous data cleaning process can be found in previous assignment</w:t>
      </w:r>
      <w:r w:rsidRPr="646CEEA5" w:rsidR="5DB648C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. </w:t>
      </w:r>
    </w:p>
    <w:p w:rsidR="236DCF51" w:rsidP="646CEEA5" w:rsidRDefault="236DCF51" w14:paraId="3B19116A" w14:textId="50728FE1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46CEEA5" w:rsidR="4ADFD69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Method</w:t>
      </w:r>
    </w:p>
    <w:p w:rsidR="236DCF51" w:rsidP="646CEEA5" w:rsidRDefault="236DCF51" w14:paraId="7562AE68" w14:textId="2DFF708F">
      <w:pPr>
        <w:pStyle w:val="Normal"/>
        <w:spacing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46CEEA5" w:rsidR="731E1B3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First, d</w:t>
      </w:r>
      <w:r w:rsidRPr="646CEEA5" w:rsidR="4ADFD69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escriptive analysis will </w:t>
      </w:r>
      <w:r w:rsidRPr="646CEEA5" w:rsidR="0992CA6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be used</w:t>
      </w:r>
      <w:r w:rsidRPr="646CEEA5" w:rsidR="4ADFD69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for each table to describe and show some basic features and measurements of a table. </w:t>
      </w:r>
      <w:r w:rsidRPr="646CEEA5" w:rsidR="41F2DE8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Measurements of descriptive analysis will be min, max, mean, median and standard deviation. After</w:t>
      </w:r>
      <w:r w:rsidRPr="646CEEA5" w:rsidR="0AAEDC99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that, each table will be analyzed using different graphs. </w:t>
      </w:r>
      <w:r w:rsidRPr="646CEEA5" w:rsidR="6E5D1CB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Six</w:t>
      </w:r>
      <w:r w:rsidRPr="646CEEA5" w:rsidR="2FB8378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types of plot</w:t>
      </w:r>
      <w:r w:rsidRPr="646CEEA5" w:rsidR="72064D1A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</w:t>
      </w:r>
      <w:r w:rsidRPr="646CEEA5" w:rsidR="2FB8378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are used in this assignment namely: b</w:t>
      </w:r>
      <w:r w:rsidRPr="646CEEA5" w:rsidR="4CDBF95C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ar plot, </w:t>
      </w:r>
      <w:r w:rsidRPr="646CEEA5" w:rsidR="12DCFC7A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l</w:t>
      </w:r>
      <w:r w:rsidRPr="646CEEA5" w:rsidR="4CDBF95C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ine </w:t>
      </w:r>
      <w:r w:rsidRPr="646CEEA5" w:rsidR="6959F274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graph</w:t>
      </w:r>
      <w:r w:rsidRPr="646CEEA5" w:rsidR="4CDBF95C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, </w:t>
      </w:r>
      <w:r w:rsidRPr="646CEEA5" w:rsidR="2CC9A8E9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b</w:t>
      </w:r>
      <w:r w:rsidRPr="646CEEA5" w:rsidR="4CDBF95C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ox</w:t>
      </w:r>
      <w:r w:rsidRPr="646CEEA5" w:rsidR="5AC4444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646CEEA5" w:rsidR="4CDBF95C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plot, </w:t>
      </w:r>
      <w:r w:rsidRPr="646CEEA5" w:rsidR="17E2BE69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histogram, </w:t>
      </w:r>
      <w:r w:rsidRPr="646CEEA5" w:rsidR="23FB4A3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</w:t>
      </w:r>
      <w:r w:rsidRPr="646CEEA5" w:rsidR="4CDBF95C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catter</w:t>
      </w:r>
      <w:r w:rsidRPr="646CEEA5" w:rsidR="4CDBF95C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plot and </w:t>
      </w:r>
      <w:r w:rsidRPr="646CEEA5" w:rsidR="34F53A99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</w:t>
      </w:r>
      <w:r w:rsidRPr="646CEEA5" w:rsidR="12F9F7A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horopleth Map</w:t>
      </w:r>
      <w:r w:rsidRPr="646CEEA5" w:rsidR="6B2F3443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. </w:t>
      </w:r>
      <w:r w:rsidRPr="646CEEA5" w:rsidR="1B0AE6C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Seaborn and Polty are the main tools to create these graphs. </w:t>
      </w:r>
    </w:p>
    <w:p w:rsidR="236DCF51" w:rsidP="646CEEA5" w:rsidRDefault="236DCF51" w14:paraId="1AD87FE8" w14:textId="42B1626D">
      <w:pPr>
        <w:pStyle w:val="Normal"/>
        <w:spacing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46CEEA5" w:rsidR="18E43D0C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As mentioned in previous section, this writeup will focus on analyzing international migrant stocks in major continents, for this UN dataset, it included 6 major continents, namely </w:t>
      </w:r>
      <w:r w:rsidRPr="646CEEA5" w:rsidR="348CF78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Africa, Asia, Europe, Latin America and the Caribbean, Northern America and Oceania. </w:t>
      </w:r>
      <w:r w:rsidRPr="646CEEA5" w:rsidR="348CF78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All plots will focus on data from these continents level with a comparison between gender.</w:t>
      </w:r>
    </w:p>
    <w:p w:rsidR="236DCF51" w:rsidP="646CEEA5" w:rsidRDefault="236DCF51" w14:paraId="17CF3E29" w14:textId="471EC9D8">
      <w:pPr>
        <w:pStyle w:val="Normal"/>
        <w:spacing w:after="160" w:afterAutospacing="off"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46CEEA5" w:rsidR="78B3B16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Tufte's visualization principles are used to guide </w:t>
      </w:r>
      <w:proofErr w:type="gramStart"/>
      <w:r w:rsidRPr="646CEEA5" w:rsidR="78B3B16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plots</w:t>
      </w:r>
      <w:proofErr w:type="gramEnd"/>
      <w:r w:rsidRPr="646CEEA5" w:rsidR="78B3B16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choices on different tables. It is worth noting </w:t>
      </w:r>
      <w:r w:rsidRPr="646CEEA5" w:rsidR="545CF39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that </w:t>
      </w:r>
      <w:r w:rsidRPr="646CEEA5" w:rsidR="78B3B16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Tufte’s principles may have different names </w:t>
      </w:r>
      <w:r w:rsidRPr="646CEEA5" w:rsidR="6097B524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depending on which perspective people interpreted with, </w:t>
      </w:r>
      <w:r w:rsidRPr="646CEEA5" w:rsidR="72D14D2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but the main ideas will be the same. Three of </w:t>
      </w:r>
      <w:r w:rsidRPr="646CEEA5" w:rsidR="5DF9873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his major principles used in </w:t>
      </w:r>
      <w:r w:rsidRPr="646CEEA5" w:rsidR="423E42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guiding</w:t>
      </w:r>
      <w:r w:rsidRPr="646CEEA5" w:rsidR="5DF9873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visualization, </w:t>
      </w:r>
      <w:r w:rsidRPr="646CEEA5" w:rsidR="7347462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including content focus, comparison and small multiples in Time series. Detailed explanations on e</w:t>
      </w:r>
      <w:r w:rsidRPr="646CEEA5" w:rsidR="25A330BA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ach </w:t>
      </w:r>
      <w:r w:rsidRPr="646CEEA5" w:rsidR="2922ABB3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plot</w:t>
      </w:r>
      <w:r w:rsidRPr="646CEEA5" w:rsidR="25A330BA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will be elaborated in</w:t>
      </w:r>
      <w:r w:rsidRPr="646CEEA5" w:rsidR="1A07B02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sections</w:t>
      </w:r>
      <w:r w:rsidRPr="646CEEA5" w:rsidR="25A330BA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below.</w:t>
      </w:r>
    </w:p>
    <w:p w:rsidR="236DCF51" w:rsidP="646CEEA5" w:rsidRDefault="236DCF51" w14:paraId="7E90ADBB" w14:textId="6CFCBE43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46CEEA5" w:rsidR="627D6E2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Result</w:t>
      </w:r>
      <w:r w:rsidRPr="646CEEA5" w:rsidR="458DD05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646CEEA5" w:rsidR="627D6E2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&amp;</w:t>
      </w:r>
      <w:r w:rsidRPr="646CEEA5" w:rsidR="458DD05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646CEEA5" w:rsidR="627D6E2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Discussion</w:t>
      </w:r>
    </w:p>
    <w:p w:rsidR="236DCF51" w:rsidP="646CEEA5" w:rsidRDefault="236DCF51" w14:paraId="020FEA69" w14:textId="6D31623E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46CEEA5" w:rsidR="723FE16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Table </w:t>
      </w:r>
      <w:r w:rsidRPr="646CEEA5" w:rsidR="626F5F6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1</w:t>
      </w:r>
      <w:r w:rsidRPr="646CEEA5" w:rsidR="723FE16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- </w:t>
      </w:r>
      <w:r w:rsidRPr="646CEEA5" w:rsidR="511FABC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International migrant stock at mid-year </w:t>
      </w:r>
    </w:p>
    <w:p w:rsidR="236DCF51" w:rsidP="646CEEA5" w:rsidRDefault="236DCF51" w14:paraId="0688A1AA" w14:textId="75BF8BED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46CEEA5" w:rsidR="41B7B8F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First, I used descriptive measurements to get some basic information about overall </w:t>
      </w:r>
      <w:r w:rsidRPr="646CEEA5" w:rsidR="7F00FBA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international</w:t>
      </w:r>
      <w:r w:rsidRPr="646CEEA5" w:rsidR="41B7B8F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646CEEA5" w:rsidR="7B11AF0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migrant</w:t>
      </w:r>
      <w:r w:rsidRPr="646CEEA5" w:rsidR="41B7B8F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stock </w:t>
      </w:r>
      <w:r w:rsidRPr="646CEEA5" w:rsidR="5212A5B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from</w:t>
      </w:r>
      <w:r w:rsidRPr="646CEEA5" w:rsidR="41B7B8F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1995 to 2015. B</w:t>
      </w:r>
      <w:r w:rsidRPr="646CEEA5" w:rsidR="6591750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elow </w:t>
      </w:r>
      <w:r w:rsidRPr="646CEEA5" w:rsidR="0154D78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is the descriptive analysis result. </w:t>
      </w:r>
    </w:p>
    <w:p w:rsidR="236DCF51" w:rsidP="646CEEA5" w:rsidRDefault="236DCF51" w14:paraId="7248CCD1" w14:textId="0F2D287B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</w:pPr>
      <w:r w:rsidRPr="646CEEA5" w:rsidR="0154D780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>Figure 1.1 - Descriptive Analysis of Table 1.</w:t>
      </w:r>
    </w:p>
    <w:p w:rsidR="236DCF51" w:rsidP="646CEEA5" w:rsidRDefault="236DCF51" w14:paraId="4A6CED90" w14:textId="436D7E36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</w:pPr>
      <w:r w:rsidR="0154D780">
        <w:drawing>
          <wp:inline wp14:editId="1F9767F1" wp14:anchorId="40913EAA">
            <wp:extent cx="3229844" cy="962025"/>
            <wp:effectExtent l="0" t="0" r="0" b="0"/>
            <wp:docPr id="1027488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82e4d9367449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29356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229844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6DCF51" w:rsidP="646CEEA5" w:rsidRDefault="236DCF51" w14:paraId="3F9369D8" w14:textId="74050283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46CEEA5" w:rsidR="5962B94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The first</w:t>
      </w:r>
      <w:r w:rsidRPr="646CEEA5" w:rsidR="52909F43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two</w:t>
      </w:r>
      <w:r w:rsidRPr="646CEEA5" w:rsidR="5962B94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principle</w:t>
      </w:r>
      <w:r w:rsidRPr="646CEEA5" w:rsidR="7DA0DD7C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</w:t>
      </w:r>
      <w:r w:rsidRPr="646CEEA5" w:rsidR="5962B94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of Tufte </w:t>
      </w:r>
      <w:r w:rsidRPr="646CEEA5" w:rsidR="7D397074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are </w:t>
      </w:r>
      <w:r w:rsidRPr="646CEEA5" w:rsidR="5962B94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content focus</w:t>
      </w:r>
      <w:r w:rsidRPr="646CEEA5" w:rsidR="4F8D19D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and comparison rather than merely description</w:t>
      </w:r>
      <w:r w:rsidRPr="646CEEA5" w:rsidR="5962B94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, i</w:t>
      </w:r>
      <w:r w:rsidRPr="646CEEA5" w:rsidR="7A1046A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n order to have a more straightforward overview </w:t>
      </w:r>
      <w:r w:rsidRPr="646CEEA5" w:rsidR="2993E19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and comparison </w:t>
      </w:r>
      <w:r w:rsidRPr="646CEEA5" w:rsidR="7A1046A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of the world </w:t>
      </w:r>
      <w:r w:rsidRPr="646CEEA5" w:rsidR="2450991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international </w:t>
      </w:r>
      <w:r w:rsidRPr="646CEEA5" w:rsidR="7A1046A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migrant </w:t>
      </w:r>
      <w:r w:rsidRPr="646CEEA5" w:rsidR="2AB81EC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stock over 1995 ~ 2015, a scatter plot used here to better </w:t>
      </w:r>
      <w:r w:rsidRPr="646CEEA5" w:rsidR="58F735A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illustrate</w:t>
      </w:r>
      <w:r w:rsidRPr="646CEEA5" w:rsidR="2AB81EC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the information. </w:t>
      </w:r>
    </w:p>
    <w:p w:rsidR="236DCF51" w:rsidP="646CEEA5" w:rsidRDefault="236DCF51" w14:paraId="3E712B6C" w14:textId="3D61AAE8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</w:pPr>
      <w:r w:rsidRPr="646CEEA5" w:rsidR="2AB81ECD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 xml:space="preserve">Figure 1.2 - World International Migrant Stock </w:t>
      </w:r>
      <w:r w:rsidRPr="646CEEA5" w:rsidR="2AB81ECD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>between</w:t>
      </w:r>
      <w:r w:rsidRPr="646CEEA5" w:rsidR="2AB81ECD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 xml:space="preserve"> Year 1995 ~ 2015 (Table 1)</w:t>
      </w:r>
    </w:p>
    <w:p w:rsidR="236DCF51" w:rsidP="646CEEA5" w:rsidRDefault="236DCF51" w14:paraId="1649679A" w14:textId="16F3EF23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</w:pPr>
      <w:r w:rsidR="39752118">
        <w:drawing>
          <wp:inline wp14:editId="0DC07C8B" wp14:anchorId="5AD6FDDC">
            <wp:extent cx="5510358" cy="2628900"/>
            <wp:effectExtent l="0" t="0" r="0" b="0"/>
            <wp:docPr id="10149675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021110d7bf4d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358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6DCF51" w:rsidP="646CEEA5" w:rsidRDefault="236DCF51" w14:paraId="13D25C82" w14:textId="3EFB7313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</w:pPr>
      <w:r w:rsidRPr="646CEEA5" w:rsidR="3975211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It is quite clear that from </w:t>
      </w:r>
      <w:r w:rsidRPr="646CEEA5" w:rsidR="48A8221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the</w:t>
      </w:r>
      <w:r w:rsidRPr="646CEEA5" w:rsidR="3975211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world </w:t>
      </w:r>
      <w:r w:rsidRPr="646CEEA5" w:rsidR="1DD5694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overall level, male and female migrants are increasing overtime and total female migrant stocks increased slightly more than male groups, and the differences between </w:t>
      </w:r>
      <w:r w:rsidRPr="646CEEA5" w:rsidR="69D9E19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the amount of increase is getting bigger in recent time, year 2010 and 2015.</w:t>
      </w:r>
      <w:r w:rsidRPr="646CEEA5" w:rsidR="6507E5C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Then, I used a</w:t>
      </w:r>
      <w:r w:rsidRPr="646CEEA5" w:rsidR="5A36181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n</w:t>
      </w:r>
      <w:r w:rsidRPr="646CEEA5" w:rsidR="6507E5C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646CEEA5" w:rsidR="22029FF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interactive </w:t>
      </w:r>
      <w:r w:rsidRPr="646CEEA5" w:rsidR="6507E5C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choropleth map to </w:t>
      </w:r>
      <w:r w:rsidRPr="646CEEA5" w:rsidR="23ACCB0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illustrate</w:t>
      </w:r>
      <w:r w:rsidRPr="646CEEA5" w:rsidR="6507E5C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the world international migrant stock trends layered with continents</w:t>
      </w:r>
      <w:r w:rsidRPr="646CEEA5" w:rsidR="2F4ECD9C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646CEEA5" w:rsidR="6507E5C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(</w:t>
      </w:r>
      <w:r w:rsidRPr="646CEEA5" w:rsidR="1125C33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Figure 1.3</w:t>
      </w:r>
      <w:r w:rsidRPr="646CEEA5" w:rsidR="6507E5C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).</w:t>
      </w:r>
      <w:r w:rsidRPr="646CEEA5" w:rsidR="63B6004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Since this figure is an interactive figure, it will show more information in coding documents where data information </w:t>
      </w:r>
      <w:r w:rsidRPr="646CEEA5" w:rsidR="289CBA73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is shown</w:t>
      </w:r>
      <w:r w:rsidRPr="646CEEA5" w:rsidR="63B6004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when </w:t>
      </w:r>
      <w:r w:rsidRPr="646CEEA5" w:rsidR="518AA16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cursor </w:t>
      </w:r>
      <w:r w:rsidRPr="646CEEA5" w:rsidR="23E5D95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moves</w:t>
      </w:r>
      <w:r w:rsidRPr="646CEEA5" w:rsidR="518AA16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to a specific area. </w:t>
      </w:r>
    </w:p>
    <w:p w:rsidR="236DCF51" w:rsidP="646CEEA5" w:rsidRDefault="236DCF51" w14:paraId="00BAFFA9" w14:textId="68F3A382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</w:pPr>
      <w:r w:rsidRPr="646CEEA5" w:rsidR="55584DAD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>Figure 1.</w:t>
      </w:r>
      <w:r w:rsidRPr="646CEEA5" w:rsidR="7AE3A57D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>3</w:t>
      </w:r>
      <w:r w:rsidRPr="646CEEA5" w:rsidR="55584DAD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 xml:space="preserve"> - World International Migrant Stock 2015 </w:t>
      </w:r>
      <w:r w:rsidRPr="646CEEA5" w:rsidR="405A90AE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 xml:space="preserve">by Continents </w:t>
      </w:r>
      <w:r w:rsidRPr="646CEEA5" w:rsidR="55584DAD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>(Table 1)</w:t>
      </w:r>
    </w:p>
    <w:p w:rsidR="236DCF51" w:rsidP="646CEEA5" w:rsidRDefault="236DCF51" w14:paraId="36032099" w14:textId="087D30C2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</w:pPr>
      <w:r w:rsidR="5BEB19CD">
        <w:drawing>
          <wp:inline wp14:editId="0AEA73D3" wp14:anchorId="37AEC1AA">
            <wp:extent cx="5456988" cy="2508602"/>
            <wp:effectExtent l="0" t="0" r="0" b="0"/>
            <wp:docPr id="1825656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fd1db269c54a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354" t="4724" r="2096" b="13779"/>
                    <a:stretch>
                      <a:fillRect/>
                    </a:stretch>
                  </pic:blipFill>
                  <pic:spPr>
                    <a:xfrm>
                      <a:off x="0" y="0"/>
                      <a:ext cx="5456988" cy="250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6DCF51" w:rsidP="646CEEA5" w:rsidRDefault="236DCF51" w14:paraId="4680BBEE" w14:textId="140B8ED5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</w:pPr>
      <w:r w:rsidRPr="646CEEA5" w:rsidR="5F7FBEF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The above figure </w:t>
      </w:r>
      <w:r w:rsidRPr="646CEEA5" w:rsidR="56FBB05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clearly</w:t>
      </w:r>
      <w:r w:rsidRPr="646CEEA5" w:rsidR="5F7FBEF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showed that Northern America and </w:t>
      </w:r>
      <w:r w:rsidRPr="646CEEA5" w:rsidR="39888AA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Europe continents attracted the most migrants in 2015. </w:t>
      </w:r>
      <w:r w:rsidRPr="646CEEA5" w:rsidR="6A0C8A4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As</w:t>
      </w:r>
      <w:r w:rsidRPr="646CEEA5" w:rsidR="5523C56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far as for now, the t</w:t>
      </w:r>
      <w:r w:rsidRPr="646CEEA5" w:rsidR="39888AA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rends of </w:t>
      </w:r>
      <w:r w:rsidRPr="646CEEA5" w:rsidR="4448D11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continents attractiveness and </w:t>
      </w:r>
      <w:r w:rsidRPr="646CEEA5" w:rsidR="2C927AA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amount</w:t>
      </w:r>
      <w:r w:rsidRPr="646CEEA5" w:rsidR="52D4A26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of </w:t>
      </w:r>
      <w:r w:rsidRPr="646CEEA5" w:rsidR="4448D11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f</w:t>
      </w:r>
      <w:r w:rsidRPr="646CEEA5" w:rsidR="39888AA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emale </w:t>
      </w:r>
      <w:r w:rsidRPr="646CEEA5" w:rsidR="5DEB847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migrant stocks </w:t>
      </w:r>
      <w:r w:rsidRPr="646CEEA5" w:rsidR="077FAFF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are </w:t>
      </w:r>
      <w:r w:rsidRPr="646CEEA5" w:rsidR="2329258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adhered</w:t>
      </w:r>
      <w:r w:rsidRPr="646CEEA5" w:rsidR="077FAFF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with the</w:t>
      </w:r>
      <w:r w:rsidRPr="646CEEA5" w:rsidR="5081B31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recent trends reported by UN. </w:t>
      </w:r>
      <w:r w:rsidRPr="646CEEA5" w:rsidR="4CD5283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The </w:t>
      </w:r>
      <w:r w:rsidRPr="646CEEA5" w:rsidR="0ABEB7C3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second </w:t>
      </w:r>
      <w:r w:rsidRPr="646CEEA5" w:rsidR="4CD5283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Tufte’s </w:t>
      </w:r>
      <w:r w:rsidRPr="646CEEA5" w:rsidR="641BECE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principle is </w:t>
      </w:r>
      <w:r w:rsidRPr="646CEEA5" w:rsidR="4CD5283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comparison rather than mere description. In order to get a clear comparison </w:t>
      </w:r>
      <w:r w:rsidRPr="646CEEA5" w:rsidR="4FB75A2A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and in-depth understandings </w:t>
      </w:r>
      <w:r w:rsidRPr="646CEEA5" w:rsidR="4CD5283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between gender within different continents</w:t>
      </w:r>
      <w:r w:rsidRPr="646CEEA5" w:rsidR="40476023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646CEEA5" w:rsidR="40476023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on a macro level,</w:t>
      </w:r>
      <w:r w:rsidRPr="646CEEA5" w:rsidR="4CD5283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I used bar plot with gender layer</w:t>
      </w:r>
      <w:r w:rsidRPr="646CEEA5" w:rsidR="3D97A7C3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, see Figure</w:t>
      </w:r>
      <w:r w:rsidRPr="646CEEA5" w:rsidR="68E9242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 below</w:t>
      </w:r>
      <w:r w:rsidRPr="646CEEA5" w:rsidR="3D97A7C3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. </w:t>
      </w:r>
    </w:p>
    <w:p w:rsidR="236DCF51" w:rsidP="646CEEA5" w:rsidRDefault="236DCF51" w14:paraId="32674A81" w14:textId="59792569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</w:pPr>
      <w:r w:rsidRPr="646CEEA5" w:rsidR="6B9120B2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>Figure 1.4 - 1990</w:t>
      </w:r>
      <w:r w:rsidRPr="646CEEA5" w:rsidR="2BA60274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 xml:space="preserve"> </w:t>
      </w:r>
      <w:r w:rsidRPr="646CEEA5" w:rsidR="6B9120B2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>~</w:t>
      </w:r>
      <w:r w:rsidRPr="646CEEA5" w:rsidR="2FD120BC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>2015</w:t>
      </w:r>
      <w:r w:rsidRPr="646CEEA5" w:rsidR="6B9120B2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 xml:space="preserve"> </w:t>
      </w:r>
      <w:r w:rsidRPr="646CEEA5" w:rsidR="6B9120B2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 xml:space="preserve">Africa International Migrant Stock </w:t>
      </w:r>
      <w:r w:rsidRPr="646CEEA5" w:rsidR="6C1552D4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 xml:space="preserve">between </w:t>
      </w:r>
      <w:r w:rsidRPr="646CEEA5" w:rsidR="50043016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>Genders</w:t>
      </w:r>
      <w:r w:rsidRPr="646CEEA5" w:rsidR="6C1552D4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 xml:space="preserve"> </w:t>
      </w:r>
    </w:p>
    <w:p w:rsidR="236DCF51" w:rsidP="646CEEA5" w:rsidRDefault="236DCF51" w14:paraId="138A99C0" w14:textId="59097B7C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</w:pPr>
      <w:r w:rsidR="6D2A7FD2">
        <w:drawing>
          <wp:inline wp14:editId="7F580487" wp14:anchorId="5D738431">
            <wp:extent cx="4182836" cy="2927985"/>
            <wp:effectExtent l="0" t="0" r="0" b="0"/>
            <wp:docPr id="71305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2bc4e8631240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836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6DCF51" w:rsidP="646CEEA5" w:rsidRDefault="236DCF51" w14:paraId="541E18FC" w14:textId="15B40E95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</w:pPr>
      <w:r w:rsidRPr="646CEEA5" w:rsidR="596958B1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>Figure 1.5 - 1990 ~2015 Asia International Migrant Stock between Gender</w:t>
      </w:r>
      <w:r w:rsidRPr="646CEEA5" w:rsidR="5CB11FEA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>s</w:t>
      </w:r>
    </w:p>
    <w:p w:rsidR="236DCF51" w:rsidP="646CEEA5" w:rsidRDefault="236DCF51" w14:paraId="1B5DDB20" w14:textId="417D9694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</w:pPr>
      <w:r w:rsidR="1F865976">
        <w:drawing>
          <wp:inline wp14:editId="5C56E98F" wp14:anchorId="75AF6190">
            <wp:extent cx="4084465" cy="2901672"/>
            <wp:effectExtent l="0" t="0" r="0" b="0"/>
            <wp:docPr id="15427398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0d44ce08d345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465" cy="290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6DCF51" w:rsidP="646CEEA5" w:rsidRDefault="236DCF51" w14:paraId="668B624A" w14:textId="3EB9B29D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</w:pPr>
      <w:r w:rsidRPr="646CEEA5" w:rsidR="309C9C48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>Figure 1.</w:t>
      </w:r>
      <w:r w:rsidRPr="646CEEA5" w:rsidR="0997F737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>6</w:t>
      </w:r>
      <w:r w:rsidRPr="646CEEA5" w:rsidR="309C9C48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 xml:space="preserve"> - 1990 ~2015 Europe International Migrant Stock between Genders</w:t>
      </w:r>
    </w:p>
    <w:p w:rsidR="236DCF51" w:rsidP="646CEEA5" w:rsidRDefault="236DCF51" w14:paraId="4A87344B" w14:textId="2DC301E4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</w:pPr>
      <w:r w:rsidR="2BCF6504">
        <w:drawing>
          <wp:inline wp14:editId="31DBC7AE" wp14:anchorId="160EE567">
            <wp:extent cx="4034298" cy="2866033"/>
            <wp:effectExtent l="0" t="0" r="0" b="0"/>
            <wp:docPr id="968034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f7bd6fba2543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298" cy="286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6DCF51" w:rsidP="646CEEA5" w:rsidRDefault="236DCF51" w14:paraId="7D5B8C52" w14:textId="3BEBB72D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</w:pPr>
      <w:r w:rsidRPr="646CEEA5" w:rsidR="1C380987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>Figure 1.</w:t>
      </w:r>
      <w:r w:rsidRPr="646CEEA5" w:rsidR="0F799BC6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>7</w:t>
      </w:r>
      <w:r w:rsidRPr="646CEEA5" w:rsidR="1C380987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 xml:space="preserve"> - 1990 ~2015 </w:t>
      </w:r>
      <w:r w:rsidRPr="646CEEA5" w:rsidR="66406783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 xml:space="preserve">Latin America and the Caribbean </w:t>
      </w:r>
      <w:r w:rsidRPr="646CEEA5" w:rsidR="1C380987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>International Migrant Stock between Genders</w:t>
      </w:r>
    </w:p>
    <w:p w:rsidR="236DCF51" w:rsidP="646CEEA5" w:rsidRDefault="236DCF51" w14:paraId="7D6DFA5F" w14:textId="6CA36261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</w:pPr>
      <w:r w:rsidR="2BCF6504">
        <w:drawing>
          <wp:inline wp14:editId="0AC2832E" wp14:anchorId="1861D70E">
            <wp:extent cx="4050752" cy="2936796"/>
            <wp:effectExtent l="0" t="0" r="0" b="0"/>
            <wp:docPr id="524423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d9a53d8ee740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752" cy="293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6DCF51" w:rsidP="646CEEA5" w:rsidRDefault="236DCF51" w14:paraId="23A22A99" w14:textId="2901D16D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</w:pPr>
      <w:r w:rsidRPr="646CEEA5" w:rsidR="08B99729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>Figure 1.</w:t>
      </w:r>
      <w:r w:rsidRPr="646CEEA5" w:rsidR="34E04B20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>8</w:t>
      </w:r>
      <w:r w:rsidRPr="646CEEA5" w:rsidR="08B99729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 xml:space="preserve"> - 1990 ~2015 Oceania International Migrant Stock between Genders</w:t>
      </w:r>
    </w:p>
    <w:p w:rsidR="236DCF51" w:rsidP="646CEEA5" w:rsidRDefault="236DCF51" w14:paraId="33CF5109" w14:textId="3429EBF4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</w:pPr>
      <w:r w:rsidR="2EFB93A9">
        <w:drawing>
          <wp:inline wp14:editId="6F83CB17" wp14:anchorId="62F9A81C">
            <wp:extent cx="3981143" cy="2828270"/>
            <wp:effectExtent l="0" t="0" r="0" b="0"/>
            <wp:docPr id="1633540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cf9ea4617448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143" cy="28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6DCF51" w:rsidP="646CEEA5" w:rsidRDefault="236DCF51" w14:paraId="7DE7A792" w14:textId="1EC1E3A8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</w:pPr>
      <w:r w:rsidRPr="646CEEA5" w:rsidR="2795443E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>Figure 1.</w:t>
      </w:r>
      <w:r w:rsidRPr="646CEEA5" w:rsidR="0C2B746F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>9</w:t>
      </w:r>
      <w:r w:rsidRPr="646CEEA5" w:rsidR="2795443E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 xml:space="preserve"> - 1990 ~2015 Northern America International Migrant Stock between Genders</w:t>
      </w:r>
    </w:p>
    <w:p w:rsidR="236DCF51" w:rsidP="646CEEA5" w:rsidRDefault="236DCF51" w14:paraId="036580A6" w14:textId="7DC9F548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</w:pPr>
      <w:r w:rsidR="2EFB93A9">
        <w:rPr/>
        <w:t xml:space="preserve"> </w:t>
      </w:r>
      <w:r w:rsidR="2EFB93A9">
        <w:drawing>
          <wp:inline wp14:editId="0958C265" wp14:anchorId="085B3FF2">
            <wp:extent cx="3737338" cy="2725142"/>
            <wp:effectExtent l="0" t="0" r="0" b="0"/>
            <wp:docPr id="1136675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1c399a017444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338" cy="272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6DCF51" w:rsidP="646CEEA5" w:rsidRDefault="236DCF51" w14:paraId="3A353D88" w14:textId="3A683CB5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46CEEA5" w:rsidR="0C559DE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The above bar plots </w:t>
      </w:r>
      <w:r w:rsidRPr="646CEEA5" w:rsidR="6BA8107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show</w:t>
      </w:r>
      <w:r w:rsidRPr="646CEEA5" w:rsidR="47049A0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ed clear </w:t>
      </w:r>
      <w:r w:rsidRPr="646CEEA5" w:rsidR="0C559DE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value differences in male and female </w:t>
      </w:r>
      <w:r w:rsidRPr="646CEEA5" w:rsidR="747F543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stocks </w:t>
      </w:r>
      <w:r w:rsidRPr="646CEEA5" w:rsidR="0C559DE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in different </w:t>
      </w:r>
      <w:r w:rsidRPr="646CEEA5" w:rsidR="12989B0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continents</w:t>
      </w:r>
      <w:r w:rsidRPr="646CEEA5" w:rsidR="0C559DE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over a time period. </w:t>
      </w:r>
      <w:r w:rsidRPr="646CEEA5" w:rsidR="10639B9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It is obvious that female in Asia and Africa regions </w:t>
      </w:r>
      <w:r w:rsidRPr="646CEEA5" w:rsidR="33CE8EF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are more likely to migrate to other country and regions. </w:t>
      </w:r>
      <w:r w:rsidRPr="646CEEA5" w:rsidR="7F74243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Moreover, for all region, female migrants are increasing over the time, however, in some regions like Latin</w:t>
      </w:r>
      <w:r w:rsidRPr="646CEEA5" w:rsidR="60FFCAA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America &amp; Caribbean, Asia and Africa, male migrant</w:t>
      </w:r>
      <w:r w:rsidRPr="646CEEA5" w:rsidR="6DCCF773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s trend experienced a slightly decrease between 2000 to 2005. </w:t>
      </w:r>
      <w:r w:rsidRPr="646CEEA5" w:rsidR="33CE8EF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This may</w:t>
      </w:r>
      <w:r w:rsidRPr="646CEEA5" w:rsidR="4D1F6A0C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be because</w:t>
      </w:r>
      <w:r w:rsidRPr="646CEEA5" w:rsidR="33CE8EF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646CEEA5" w:rsidR="643A326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women's rights can be more protected in other regions</w:t>
      </w:r>
      <w:r w:rsidRPr="646CEEA5" w:rsidR="421E9C8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and female seek to going abord to improve their living standard. </w:t>
      </w:r>
    </w:p>
    <w:p w:rsidR="236DCF51" w:rsidP="646CEEA5" w:rsidRDefault="236DCF51" w14:paraId="4E200EB9" w14:textId="76FA6DBA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46CEEA5" w:rsidR="421E9C8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Table 2 - </w:t>
      </w:r>
      <w:r w:rsidRPr="646CEEA5" w:rsidR="78B22CB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Total Population at Mid-year</w:t>
      </w:r>
    </w:p>
    <w:p w:rsidR="236DCF51" w:rsidP="646CEEA5" w:rsidRDefault="236DCF51" w14:paraId="79ECE342" w14:textId="5014C59D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</w:pPr>
      <w:r w:rsidRPr="646CEEA5" w:rsidR="687470C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First, </w:t>
      </w:r>
      <w:r w:rsidRPr="646CEEA5" w:rsidR="47C6E36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descriptive</w:t>
      </w:r>
      <w:r w:rsidRPr="646CEEA5" w:rsidR="687470C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analysis will be used to get a basic idea of </w:t>
      </w:r>
      <w:r w:rsidRPr="646CEEA5" w:rsidR="58F10E6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the total</w:t>
      </w:r>
      <w:r w:rsidRPr="646CEEA5" w:rsidR="687470C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amount of total population stock </w:t>
      </w:r>
      <w:r w:rsidRPr="646CEEA5" w:rsidR="55CE9B3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from </w:t>
      </w:r>
      <w:r w:rsidRPr="646CEEA5" w:rsidR="687470C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1990</w:t>
      </w:r>
      <w:r w:rsidRPr="646CEEA5" w:rsidR="65C7CE1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to 2015.</w:t>
      </w:r>
    </w:p>
    <w:p w:rsidR="236DCF51" w:rsidP="646CEEA5" w:rsidRDefault="236DCF51" w14:paraId="30AEB59C" w14:textId="0DCBB885">
      <w:pPr>
        <w:pStyle w:val="Normal"/>
        <w:spacing w:before="0" w:beforeAutospacing="off" w:after="160" w:afterAutospacing="off" w:line="360" w:lineRule="auto"/>
        <w:ind w:left="0" w:right="0"/>
        <w:jc w:val="both"/>
      </w:pPr>
      <w:r w:rsidR="7A0020CA">
        <w:drawing>
          <wp:inline wp14:editId="6C7E7968" wp14:anchorId="676FCEDB">
            <wp:extent cx="2732636" cy="1037937"/>
            <wp:effectExtent l="0" t="0" r="0" b="0"/>
            <wp:docPr id="14854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359b4c94f640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6375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732636" cy="103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6DCF51" w:rsidP="646CEEA5" w:rsidRDefault="236DCF51" w14:paraId="69F0E2B4" w14:textId="4453EB8A">
      <w:pPr>
        <w:pStyle w:val="Normal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</w:pPr>
      <w:r w:rsidRPr="646CEEA5" w:rsidR="7A22CDE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Followed by Tufte’s first two principles of content focusing and comparison than mere description, </w:t>
      </w:r>
      <w:r w:rsidRPr="646CEEA5" w:rsidR="0F7A5B7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boxplots</w:t>
      </w:r>
      <w:r w:rsidRPr="646CEEA5" w:rsidR="7A22CDE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are used for this table, comparing each year’s total population by gender</w:t>
      </w:r>
      <w:r w:rsidRPr="646CEEA5" w:rsidR="3A13568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, see figures below. </w:t>
      </w:r>
    </w:p>
    <w:p w:rsidR="236DCF51" w:rsidP="646CEEA5" w:rsidRDefault="236DCF51" w14:paraId="19641FE1" w14:textId="1BCF0471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</w:pPr>
      <w:r w:rsidRPr="646CEEA5" w:rsidR="6BD5FBCE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 xml:space="preserve">Figure 2.1 - </w:t>
      </w:r>
      <w:r w:rsidRPr="646CEEA5" w:rsidR="38B97A03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>Total Population at Year 1990 by Gender</w:t>
      </w:r>
    </w:p>
    <w:p w:rsidR="236DCF51" w:rsidP="646CEEA5" w:rsidRDefault="236DCF51" w14:paraId="3DE9CC50" w14:textId="0C8CE0D6">
      <w:pPr>
        <w:pStyle w:val="Normal"/>
        <w:spacing w:before="0" w:beforeAutospacing="off" w:after="160" w:afterAutospacing="off" w:line="360" w:lineRule="auto"/>
        <w:ind w:left="0" w:right="0"/>
        <w:jc w:val="both"/>
      </w:pPr>
      <w:r w:rsidR="5D24EB8D">
        <w:drawing>
          <wp:inline wp14:editId="2F9677C1" wp14:anchorId="5B930F9A">
            <wp:extent cx="4867275" cy="2322096"/>
            <wp:effectExtent l="0" t="0" r="0" b="0"/>
            <wp:docPr id="21369762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78cb20574d4c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32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6DCF51" w:rsidP="646CEEA5" w:rsidRDefault="236DCF51" w14:paraId="5646D9BD" w14:textId="674F534F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</w:pPr>
      <w:r w:rsidRPr="646CEEA5" w:rsidR="4893279A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 xml:space="preserve">Figure 2.2 - </w:t>
      </w:r>
      <w:r w:rsidRPr="646CEEA5" w:rsidR="180BEC9C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>Total Population at Year 1995 by Gender</w:t>
      </w:r>
    </w:p>
    <w:p w:rsidR="236DCF51" w:rsidP="646CEEA5" w:rsidRDefault="236DCF51" w14:paraId="12C04815" w14:textId="69095A2D">
      <w:pPr>
        <w:pStyle w:val="Normal"/>
        <w:spacing w:before="0" w:beforeAutospacing="off" w:after="160" w:afterAutospacing="off" w:line="360" w:lineRule="auto"/>
        <w:ind w:left="0" w:right="0"/>
        <w:jc w:val="both"/>
      </w:pPr>
      <w:r w:rsidR="180BEC9C">
        <w:drawing>
          <wp:inline wp14:editId="4CBB1CC7" wp14:anchorId="024870A6">
            <wp:extent cx="4869280" cy="2312908"/>
            <wp:effectExtent l="0" t="0" r="0" b="0"/>
            <wp:docPr id="1526139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de3c24c2b74c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280" cy="231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6DCF51" w:rsidP="646CEEA5" w:rsidRDefault="236DCF51" w14:paraId="22CE09C9" w14:textId="1001F5A6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</w:pPr>
      <w:r w:rsidRPr="646CEEA5" w:rsidR="180BEC9C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>Figure 2.3 - Total Population at Year 2000 by Gender</w:t>
      </w:r>
    </w:p>
    <w:p w:rsidR="236DCF51" w:rsidP="646CEEA5" w:rsidRDefault="236DCF51" w14:paraId="4D03E83C" w14:textId="5362A507">
      <w:pPr>
        <w:pStyle w:val="Normal"/>
        <w:spacing w:before="0" w:beforeAutospacing="off" w:after="160" w:afterAutospacing="off" w:line="360" w:lineRule="auto"/>
        <w:ind w:left="0" w:right="0"/>
        <w:jc w:val="both"/>
      </w:pPr>
      <w:r w:rsidR="180BEC9C">
        <w:drawing>
          <wp:inline wp14:editId="7C0B11AC" wp14:anchorId="38859F82">
            <wp:extent cx="4959517" cy="2355770"/>
            <wp:effectExtent l="0" t="0" r="0" b="0"/>
            <wp:docPr id="376617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237e1083074f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517" cy="23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6DCF51" w:rsidP="646CEEA5" w:rsidRDefault="236DCF51" w14:paraId="6684D424" w14:textId="75DC8E9E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</w:pPr>
      <w:r w:rsidRPr="646CEEA5" w:rsidR="7C95DACB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>Figure 2.4 - Total Population at Year 2005 by Gender</w:t>
      </w:r>
    </w:p>
    <w:p w:rsidR="236DCF51" w:rsidP="646CEEA5" w:rsidRDefault="236DCF51" w14:paraId="7E88A83F" w14:textId="4D3888D9">
      <w:pPr>
        <w:pStyle w:val="Normal"/>
        <w:spacing w:before="0" w:beforeAutospacing="off" w:after="160" w:afterAutospacing="off" w:line="360" w:lineRule="auto"/>
        <w:ind w:left="0" w:right="0"/>
        <w:jc w:val="both"/>
      </w:pPr>
      <w:r w:rsidR="43D86B60">
        <w:drawing>
          <wp:inline wp14:editId="4A98425D" wp14:anchorId="4B4E44A1">
            <wp:extent cx="4926724" cy="2381250"/>
            <wp:effectExtent l="0" t="0" r="0" b="0"/>
            <wp:docPr id="1676880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202b9dc01c49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724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6DCF51" w:rsidP="646CEEA5" w:rsidRDefault="236DCF51" w14:paraId="5A45CE2E" w14:textId="62EA6E2F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</w:pPr>
      <w:r w:rsidRPr="646CEEA5" w:rsidR="43D86B60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>Figure 2.5 - Total Population at Year 2010 by Gender</w:t>
      </w:r>
    </w:p>
    <w:p w:rsidR="236DCF51" w:rsidP="646CEEA5" w:rsidRDefault="236DCF51" w14:paraId="51A8EC4F" w14:textId="439562E3">
      <w:pPr>
        <w:pStyle w:val="Normal"/>
        <w:spacing w:before="0" w:beforeAutospacing="off" w:after="160" w:afterAutospacing="off" w:line="360" w:lineRule="auto"/>
        <w:ind w:left="0" w:right="0"/>
        <w:jc w:val="both"/>
      </w:pPr>
      <w:r w:rsidR="43D86B60">
        <w:drawing>
          <wp:inline wp14:editId="1FF306D5" wp14:anchorId="3109D46D">
            <wp:extent cx="5015102" cy="2371725"/>
            <wp:effectExtent l="0" t="0" r="0" b="0"/>
            <wp:docPr id="997329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f62678cb1e43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102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6DCF51" w:rsidP="646CEEA5" w:rsidRDefault="236DCF51" w14:paraId="6B4D54AB" w14:textId="6DD76E2D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</w:pPr>
      <w:r w:rsidRPr="646CEEA5" w:rsidR="1D4879B7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>Figure 2.6 - Total Population at Year 2015 by Gender</w:t>
      </w:r>
    </w:p>
    <w:p w:rsidR="236DCF51" w:rsidP="646CEEA5" w:rsidRDefault="236DCF51" w14:paraId="08BB46A4" w14:textId="4E207610">
      <w:pPr>
        <w:pStyle w:val="Normal"/>
        <w:spacing w:before="0" w:beforeAutospacing="off" w:after="160" w:afterAutospacing="off" w:line="360" w:lineRule="auto"/>
        <w:ind w:left="0" w:right="0"/>
        <w:jc w:val="both"/>
      </w:pPr>
      <w:r w:rsidR="1D4879B7">
        <w:drawing>
          <wp:inline wp14:editId="0AF826E8" wp14:anchorId="11AF7981">
            <wp:extent cx="4923692" cy="2400300"/>
            <wp:effectExtent l="0" t="0" r="0" b="0"/>
            <wp:docPr id="1912376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908575daaf4b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692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6DCF51" w:rsidP="646CEEA5" w:rsidRDefault="236DCF51" w14:paraId="78A17411" w14:textId="29C30DF6">
      <w:pPr>
        <w:pStyle w:val="Normal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</w:pPr>
      <w:r w:rsidRPr="646CEEA5" w:rsidR="412DF1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The above </w:t>
      </w:r>
      <w:r w:rsidRPr="646CEEA5" w:rsidR="236869D3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box plots</w:t>
      </w:r>
      <w:r w:rsidRPr="646CEEA5" w:rsidR="6935EC53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illustrate</w:t>
      </w:r>
      <w:r w:rsidRPr="646CEEA5" w:rsidR="359AA4E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646CEEA5" w:rsidR="6935EC53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clear outliers of total population across all year periods</w:t>
      </w:r>
      <w:r w:rsidRPr="646CEEA5" w:rsidR="6F11AB1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and maximum line</w:t>
      </w:r>
      <w:r w:rsidRPr="646CEEA5" w:rsidR="1EBA2C5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s</w:t>
      </w:r>
      <w:r w:rsidRPr="646CEEA5" w:rsidR="6F11AB1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646CEEA5" w:rsidR="0FC9330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cannot</w:t>
      </w:r>
      <w:r w:rsidRPr="646CEEA5" w:rsidR="7BB47FC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be </w:t>
      </w:r>
      <w:r w:rsidRPr="646CEEA5" w:rsidR="6F11AB1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able to observe.</w:t>
      </w:r>
      <w:r w:rsidRPr="646CEEA5" w:rsidR="00FCA10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646CEEA5" w:rsidR="592809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T</w:t>
      </w:r>
      <w:r w:rsidRPr="646CEEA5" w:rsidR="22E9570C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he</w:t>
      </w:r>
      <w:r w:rsidRPr="646CEEA5" w:rsidR="657EE60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minimum and maximum numbers are also having a big difference in both male and female populations</w:t>
      </w:r>
      <w:r w:rsidRPr="646CEEA5" w:rsidR="657EE60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.</w:t>
      </w:r>
      <w:r w:rsidRPr="646CEEA5" w:rsidR="3FE1EF3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646CEEA5" w:rsidR="00FCA10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This </w:t>
      </w:r>
      <w:r w:rsidRPr="646CEEA5" w:rsidR="21C7DCA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may be due to the different </w:t>
      </w:r>
      <w:r w:rsidRPr="646CEEA5" w:rsidR="438554C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development</w:t>
      </w:r>
      <w:r w:rsidRPr="646CEEA5" w:rsidR="21C7DCA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stages and processes between countries and regions, that will lead to a distinct population </w:t>
      </w:r>
      <w:r w:rsidRPr="646CEEA5" w:rsidR="1BE5785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stock</w:t>
      </w:r>
      <w:r w:rsidRPr="646CEEA5" w:rsidR="21C7DCA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.</w:t>
      </w:r>
      <w:r w:rsidRPr="646CEEA5" w:rsidR="4DD00E6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646CEEA5" w:rsidR="080C9E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All the boxes do not show a </w:t>
      </w:r>
      <w:r w:rsidRPr="646CEEA5" w:rsidR="0F3B065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significant difference</w:t>
      </w:r>
      <w:r w:rsidRPr="646CEEA5" w:rsidR="080C9E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, </w:t>
      </w:r>
      <w:r w:rsidRPr="646CEEA5" w:rsidR="23EF40B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most of</w:t>
      </w:r>
      <w:r w:rsidRPr="646CEEA5" w:rsidR="080C9E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the figures </w:t>
      </w:r>
      <w:r w:rsidRPr="646CEEA5" w:rsidR="5BD5292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stayed</w:t>
      </w:r>
      <w:r w:rsidRPr="646CEEA5" w:rsidR="080C9E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within the middle 50% qua</w:t>
      </w:r>
      <w:r w:rsidRPr="646CEEA5" w:rsidR="272FEA8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rtile with similar medians between</w:t>
      </w:r>
      <w:r w:rsidRPr="646CEEA5" w:rsidR="0139CF7C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genders. </w:t>
      </w:r>
    </w:p>
    <w:p w:rsidR="236DCF51" w:rsidP="646CEEA5" w:rsidRDefault="236DCF51" w14:paraId="5DBDD3BD" w14:textId="4F28282A">
      <w:pPr>
        <w:pStyle w:val="Normal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</w:pPr>
      <w:r w:rsidRPr="646CEEA5" w:rsidR="3E5B82C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T</w:t>
      </w:r>
      <w:r w:rsidRPr="646CEEA5" w:rsidR="06A26C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here </w:t>
      </w:r>
      <w:r w:rsidRPr="646CEEA5" w:rsidR="480DB04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are</w:t>
      </w:r>
      <w:r w:rsidRPr="646CEEA5" w:rsidR="06A26C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not huge differences</w:t>
      </w:r>
      <w:r w:rsidRPr="646CEEA5" w:rsidR="53B3105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in total population between </w:t>
      </w:r>
      <w:r w:rsidRPr="646CEEA5" w:rsidR="06A26C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male and female</w:t>
      </w:r>
      <w:r w:rsidRPr="646CEEA5" w:rsidR="1B74C18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in</w:t>
      </w:r>
      <w:r w:rsidRPr="646CEEA5" w:rsidR="06A26C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646CEEA5" w:rsidR="06A26C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majority of the numbers, </w:t>
      </w:r>
      <w:r w:rsidRPr="646CEEA5" w:rsidR="610ED44C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still international </w:t>
      </w:r>
      <w:r w:rsidRPr="646CEEA5" w:rsidR="06A26C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migrant </w:t>
      </w:r>
      <w:r w:rsidRPr="646CEEA5" w:rsidR="701B834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stock </w:t>
      </w:r>
      <w:r w:rsidRPr="646CEEA5" w:rsidR="5EC988B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is</w:t>
      </w:r>
      <w:r w:rsidRPr="646CEEA5" w:rsidR="701B834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show differences between genders. The next table will </w:t>
      </w:r>
      <w:r w:rsidRPr="646CEEA5" w:rsidR="1D39336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examine</w:t>
      </w:r>
      <w:r w:rsidRPr="646CEEA5" w:rsidR="7CE2414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the trends and patterns of international migrants as percentages of total population.</w:t>
      </w:r>
    </w:p>
    <w:p w:rsidR="236DCF51" w:rsidP="646CEEA5" w:rsidRDefault="236DCF51" w14:paraId="2EBCFDA5" w14:textId="64404864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46CEEA5" w:rsidR="17DAD09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Table </w:t>
      </w:r>
      <w:r w:rsidRPr="646CEEA5" w:rsidR="3E9AD10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3</w:t>
      </w:r>
      <w:r w:rsidRPr="646CEEA5" w:rsidR="17DAD09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- </w:t>
      </w:r>
      <w:r w:rsidRPr="646CEEA5" w:rsidR="3B46F24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International Migrant Stock as a Percentage of Total Population</w:t>
      </w:r>
    </w:p>
    <w:p w:rsidR="236DCF51" w:rsidP="646CEEA5" w:rsidRDefault="236DCF51" w14:paraId="0C6C8009" w14:textId="5E56B722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</w:pPr>
      <w:r w:rsidRPr="646CEEA5" w:rsidR="63DF98F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Since this write up will focus on macro continental level</w:t>
      </w:r>
      <w:r w:rsidRPr="646CEEA5" w:rsidR="2AA0164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, I created a new data frame based on the previously cleaned Table 3 used for the following visualization</w:t>
      </w:r>
      <w:r w:rsidRPr="646CEEA5" w:rsidR="1F3CD00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(see code file for process of creating new data frame)</w:t>
      </w:r>
      <w:r w:rsidRPr="646CEEA5" w:rsidR="2AA0164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. </w:t>
      </w:r>
    </w:p>
    <w:p w:rsidR="236DCF51" w:rsidP="646CEEA5" w:rsidRDefault="236DCF51" w14:paraId="5951D613" w14:textId="1F9F86B1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</w:pPr>
      <w:r w:rsidRPr="646CEEA5" w:rsidR="22ACCF02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>Figure 3.1 - International Migrant Stock of Major Continents as Percentage of Total Population</w:t>
      </w:r>
    </w:p>
    <w:p w:rsidR="236DCF51" w:rsidP="646CEEA5" w:rsidRDefault="236DCF51" w14:paraId="19E07CD9" w14:textId="69134E5E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</w:pPr>
      <w:r w:rsidR="22ACCF02">
        <w:drawing>
          <wp:inline wp14:editId="0F05AB9A" wp14:anchorId="3DE14BA8">
            <wp:extent cx="5408644" cy="3324062"/>
            <wp:effectExtent l="0" t="0" r="0" b="0"/>
            <wp:docPr id="516453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df6bb1b85d4c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644" cy="332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6DCF51" w:rsidP="646CEEA5" w:rsidRDefault="236DCF51" w14:paraId="52CCEC9F" w14:textId="502534C1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</w:pPr>
      <w:r w:rsidRPr="646CEEA5" w:rsidR="20BA12FC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The above line graph shows the changing trends of international migrants as percentages over 1990 to 2015 time period </w:t>
      </w:r>
      <w:r w:rsidRPr="646CEEA5" w:rsidR="5DEEFB9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of 6 different continents. As indicated in </w:t>
      </w:r>
      <w:r w:rsidRPr="646CEEA5" w:rsidR="1720453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the above</w:t>
      </w:r>
      <w:r w:rsidRPr="646CEEA5" w:rsidR="5DEEFB9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line graph, the content </w:t>
      </w:r>
      <w:r w:rsidRPr="646CEEA5" w:rsidR="3D416E3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comparison is </w:t>
      </w:r>
      <w:r w:rsidRPr="646CEEA5" w:rsidR="54182DF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obvious</w:t>
      </w:r>
      <w:r w:rsidRPr="646CEEA5" w:rsidR="3D416E3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and straightforward </w:t>
      </w:r>
      <w:r w:rsidRPr="646CEEA5" w:rsidR="46BFBC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with enrich content</w:t>
      </w:r>
      <w:r w:rsidRPr="646CEEA5" w:rsidR="3D416E3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646CEEA5" w:rsidR="355CA7C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that </w:t>
      </w:r>
      <w:r w:rsidRPr="646CEEA5" w:rsidR="72A24E4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adheres</w:t>
      </w:r>
      <w:r w:rsidRPr="646CEEA5" w:rsidR="3D416E3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with Tuf</w:t>
      </w:r>
      <w:r w:rsidRPr="646CEEA5" w:rsidR="7BE6536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te’s principle. From Figure 3.1</w:t>
      </w:r>
      <w:r w:rsidRPr="646CEEA5" w:rsidR="1A2B536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, we can see ghat </w:t>
      </w:r>
      <w:r w:rsidRPr="646CEEA5" w:rsidR="76049FD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Oceania, Northern America and Europe attacks more international migrants than other continents. This resu</w:t>
      </w:r>
      <w:r w:rsidRPr="646CEEA5" w:rsidR="78AC9C5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lt is very similar to the results of the previously mentioned UN 2020 report where Europe and </w:t>
      </w:r>
      <w:r w:rsidRPr="646CEEA5" w:rsidR="4FE376DC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Northern America are the top 2 migrants' destination. Moreover, </w:t>
      </w:r>
      <w:r w:rsidRPr="646CEEA5" w:rsidR="38F5016C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as for 2015, from the direction of the lines shows that these three continents will continue to welcome more new immigrants subsequently.</w:t>
      </w:r>
    </w:p>
    <w:p w:rsidR="236DCF51" w:rsidP="646CEEA5" w:rsidRDefault="236DCF51" w14:paraId="479BB96C" w14:textId="0B3E7248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</w:pPr>
      <w:r w:rsidRPr="646CEEA5" w:rsidR="38F5016C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Small multiples </w:t>
      </w:r>
      <w:proofErr w:type="gramStart"/>
      <w:r w:rsidRPr="646CEEA5" w:rsidR="7560B2C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is</w:t>
      </w:r>
      <w:proofErr w:type="gramEnd"/>
      <w:r w:rsidRPr="646CEEA5" w:rsidR="7560B2C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another principle that Tufte addressed which comparisons can be enforced within the scope of </w:t>
      </w:r>
      <w:r w:rsidRPr="646CEEA5" w:rsidR="0A4977A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eye span. Figure 3.2 illustrated this table with small multiples in time series.</w:t>
      </w:r>
      <w:r w:rsidRPr="646CEEA5" w:rsidR="3FB51753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646CEEA5" w:rsidR="032048A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Tufte also emphasized the resolution of data visualizations, thus the below figure is saved as a high-resolution picture not just screenshotted.</w:t>
      </w:r>
    </w:p>
    <w:p w:rsidR="236DCF51" w:rsidP="646CEEA5" w:rsidRDefault="236DCF51" w14:paraId="44413274" w14:textId="40D0A4C3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</w:pPr>
      <w:r w:rsidRPr="646CEEA5" w:rsidR="070F0FE9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>Figure 3.2 - International Migrant Stock of Major Continents as Percentage of Total Population (Small Multiples)</w:t>
      </w:r>
    </w:p>
    <w:p w:rsidR="236DCF51" w:rsidP="646CEEA5" w:rsidRDefault="236DCF51" w14:paraId="6AEB0474" w14:textId="65B92802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</w:pPr>
      <w:r w:rsidR="58638624">
        <w:drawing>
          <wp:inline wp14:editId="08B3101D" wp14:anchorId="40D5EC34">
            <wp:extent cx="5242574" cy="5879522"/>
            <wp:effectExtent l="0" t="0" r="0" b="0"/>
            <wp:docPr id="2923856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5f47e1e99548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74" cy="587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6DCF51" w:rsidP="646CEEA5" w:rsidRDefault="236DCF51" w14:paraId="2BC39AFC" w14:textId="6E9B4719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</w:pPr>
      <w:r w:rsidRPr="646CEEA5" w:rsidR="58785DE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The small multiples figure </w:t>
      </w:r>
      <w:r w:rsidRPr="646CEEA5" w:rsidR="285AB8B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provides</w:t>
      </w:r>
      <w:r w:rsidRPr="646CEEA5" w:rsidR="58785DE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the opportunity to see the trends overtime </w:t>
      </w:r>
      <w:r w:rsidRPr="646CEEA5" w:rsidR="5AEFC60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all at once with all independent </w:t>
      </w:r>
      <w:r w:rsidRPr="646CEEA5" w:rsidR="4CC003A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values (6 continents) showing different percentages from 1990 to </w:t>
      </w:r>
      <w:proofErr w:type="gramStart"/>
      <w:r w:rsidRPr="646CEEA5" w:rsidR="4CC003A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2015 time</w:t>
      </w:r>
      <w:proofErr w:type="gramEnd"/>
      <w:r w:rsidRPr="646CEEA5" w:rsidR="4CC003A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span. </w:t>
      </w:r>
      <w:r w:rsidRPr="646CEEA5" w:rsidR="611D39A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From </w:t>
      </w:r>
      <w:r w:rsidRPr="646CEEA5" w:rsidR="79A0F5D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the above</w:t>
      </w:r>
      <w:r w:rsidRPr="646CEEA5" w:rsidR="611D39A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figure we can tell </w:t>
      </w:r>
      <w:r w:rsidRPr="646CEEA5" w:rsidR="1ED59CD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that </w:t>
      </w:r>
      <w:r w:rsidRPr="646CEEA5" w:rsidR="611D39A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all gender </w:t>
      </w:r>
      <w:r w:rsidRPr="646CEEA5" w:rsidR="024612D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types show</w:t>
      </w:r>
      <w:r w:rsidRPr="646CEEA5" w:rsidR="611D39A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similar patterns for each </w:t>
      </w:r>
      <w:proofErr w:type="gramStart"/>
      <w:r w:rsidRPr="646CEEA5" w:rsidR="611D39A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5 year</w:t>
      </w:r>
      <w:proofErr w:type="gramEnd"/>
      <w:r w:rsidRPr="646CEEA5" w:rsidR="611D39A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time in all 6 </w:t>
      </w:r>
      <w:r w:rsidRPr="646CEEA5" w:rsidR="73CCCAB3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continents</w:t>
      </w:r>
      <w:r w:rsidRPr="646CEEA5" w:rsidR="611D39A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, </w:t>
      </w:r>
      <w:r w:rsidRPr="646CEEA5" w:rsidR="35ED41E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which is not very similar to </w:t>
      </w:r>
      <w:r w:rsidRPr="646CEEA5" w:rsidR="17A686C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the trends </w:t>
      </w:r>
      <w:r w:rsidRPr="646CEEA5" w:rsidR="2F32CD6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shown</w:t>
      </w:r>
      <w:r w:rsidRPr="646CEEA5" w:rsidR="17A686C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in Figure 3.1. However</w:t>
      </w:r>
      <w:r w:rsidRPr="646CEEA5" w:rsidR="1512E45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,</w:t>
      </w:r>
      <w:r w:rsidRPr="646CEEA5" w:rsidR="17A686C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Europe, Norther America and Oceania is the top 3 </w:t>
      </w:r>
      <w:r w:rsidRPr="646CEEA5" w:rsidR="1376B76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continents</w:t>
      </w:r>
      <w:r w:rsidRPr="646CEEA5" w:rsidR="17A686C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for </w:t>
      </w:r>
      <w:r w:rsidRPr="646CEEA5" w:rsidR="06A209FC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migrants’</w:t>
      </w:r>
      <w:r w:rsidRPr="646CEEA5" w:rsidR="17A686C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destination</w:t>
      </w:r>
      <w:r w:rsidRPr="646CEEA5" w:rsidR="73BE919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with similar amount of attractiveness f</w:t>
      </w:r>
      <w:r w:rsidRPr="646CEEA5" w:rsidR="008BBE6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or </w:t>
      </w:r>
      <w:r w:rsidRPr="646CEEA5" w:rsidR="73BE919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both male and female migrants.</w:t>
      </w:r>
    </w:p>
    <w:p w:rsidR="236DCF51" w:rsidP="646CEEA5" w:rsidRDefault="236DCF51" w14:paraId="6243FF46" w14:textId="5362AC38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46CEEA5" w:rsidR="4A339C1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Table 4 - Female Migrants as a percentage of the </w:t>
      </w:r>
      <w:r w:rsidRPr="646CEEA5" w:rsidR="7D5156A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I</w:t>
      </w:r>
      <w:r w:rsidRPr="646CEEA5" w:rsidR="4A339C1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nternational </w:t>
      </w:r>
      <w:r w:rsidRPr="646CEEA5" w:rsidR="53DCFDB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M</w:t>
      </w:r>
      <w:r w:rsidRPr="646CEEA5" w:rsidR="4A339C1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igrant </w:t>
      </w:r>
      <w:r w:rsidRPr="646CEEA5" w:rsidR="182A642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</w:t>
      </w:r>
      <w:r w:rsidRPr="646CEEA5" w:rsidR="4A339C1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tock</w:t>
      </w:r>
    </w:p>
    <w:p w:rsidR="236DCF51" w:rsidP="646CEEA5" w:rsidRDefault="236DCF51" w14:paraId="06C7AB2E" w14:textId="7F712E35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46CEEA5" w:rsidR="091F678C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First, a descriptive measurement is used here to get some basic information about female migrants’ </w:t>
      </w:r>
      <w:r w:rsidRPr="646CEEA5" w:rsidR="540D4763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proportion</w:t>
      </w:r>
      <w:r w:rsidRPr="646CEEA5" w:rsidR="091F678C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of Inter</w:t>
      </w:r>
      <w:r w:rsidRPr="646CEEA5" w:rsidR="57D220C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national migrant stock. </w:t>
      </w:r>
    </w:p>
    <w:p w:rsidR="236DCF51" w:rsidP="646CEEA5" w:rsidRDefault="236DCF51" w14:paraId="7ACE3125" w14:textId="44C42BE0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</w:pPr>
      <w:r w:rsidRPr="646CEEA5" w:rsidR="091F678C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 xml:space="preserve">Figure </w:t>
      </w:r>
      <w:r w:rsidRPr="646CEEA5" w:rsidR="1FF91438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>4</w:t>
      </w:r>
      <w:r w:rsidRPr="646CEEA5" w:rsidR="091F678C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 xml:space="preserve">.1 - Descriptive Analysis of Table </w:t>
      </w:r>
      <w:r w:rsidRPr="646CEEA5" w:rsidR="19BD0C7D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>4</w:t>
      </w:r>
      <w:r w:rsidRPr="646CEEA5" w:rsidR="091F678C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>.</w:t>
      </w:r>
    </w:p>
    <w:p w:rsidR="236DCF51" w:rsidP="646CEEA5" w:rsidRDefault="236DCF51" w14:paraId="7755D55C" w14:textId="73BA6413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</w:pPr>
      <w:r w:rsidR="7DC967B1">
        <w:drawing>
          <wp:inline wp14:editId="6CCD81F1" wp14:anchorId="5C701D12">
            <wp:extent cx="4572000" cy="771525"/>
            <wp:effectExtent l="0" t="0" r="0" b="0"/>
            <wp:docPr id="4673529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b4f94dccee41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6DCF51" w:rsidP="646CEEA5" w:rsidRDefault="236DCF51" w14:paraId="0966E53C" w14:textId="44A1E6F7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</w:pPr>
      <w:r w:rsidRPr="646CEEA5" w:rsidR="017F30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There </w:t>
      </w:r>
      <w:r w:rsidRPr="646CEEA5" w:rsidR="58B60A9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are </w:t>
      </w:r>
      <w:r w:rsidRPr="646CEEA5" w:rsidR="017F30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big differences </w:t>
      </w:r>
      <w:r w:rsidRPr="646CEEA5" w:rsidR="2F2099CC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observed </w:t>
      </w:r>
      <w:r w:rsidRPr="646CEEA5" w:rsidR="017F30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between max and min number, this might because of the differences between continents, which female may have preferences of choosing their migration </w:t>
      </w:r>
      <w:r w:rsidRPr="646CEEA5" w:rsidR="1531918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destination</w:t>
      </w:r>
      <w:r w:rsidRPr="646CEEA5" w:rsidR="017F30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.</w:t>
      </w:r>
      <w:r w:rsidRPr="646CEEA5" w:rsidR="017F30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</w:p>
    <w:p w:rsidR="236DCF51" w:rsidP="646CEEA5" w:rsidRDefault="236DCF51" w14:paraId="09CD1906" w14:textId="7EF48CD9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</w:pPr>
      <w:r w:rsidRPr="646CEEA5" w:rsidR="1401A143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Since this write up will focus on macro continental level, I created a new data frame based on the previously cleaned Table 4 used for the following visualization (see code file for process of creating new data frame).</w:t>
      </w:r>
    </w:p>
    <w:p w:rsidR="236DCF51" w:rsidP="646CEEA5" w:rsidRDefault="236DCF51" w14:paraId="74D266FD" w14:textId="2FDBCB5F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</w:pPr>
      <w:r w:rsidRPr="646CEEA5" w:rsidR="657744BB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 xml:space="preserve">Figure 4.2 - Female Migrants as Percentage of International </w:t>
      </w:r>
      <w:r w:rsidRPr="646CEEA5" w:rsidR="275CDA3F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>Migrant Stock in Major Continents</w:t>
      </w:r>
    </w:p>
    <w:p w:rsidR="236DCF51" w:rsidP="646CEEA5" w:rsidRDefault="236DCF51" w14:paraId="6FC5F297" w14:textId="34C0C972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</w:pPr>
      <w:r w:rsidR="142A2D53">
        <w:drawing>
          <wp:inline wp14:editId="6F7915BE" wp14:anchorId="623E1321">
            <wp:extent cx="5696262" cy="3619500"/>
            <wp:effectExtent l="0" t="0" r="0" b="0"/>
            <wp:docPr id="943073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52fd0a521649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262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6DCF51" w:rsidP="646CEEA5" w:rsidRDefault="236DCF51" w14:paraId="22D5D006" w14:textId="6047EB9A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</w:pPr>
      <w:r w:rsidRPr="646CEEA5" w:rsidR="1D6E2B83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According to Tufte’s content focusing and comparison principle, this line graph shows a clear comparison and trends of female migrants in 6 majo</w:t>
      </w:r>
      <w:r w:rsidRPr="646CEEA5" w:rsidR="15A0440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r</w:t>
      </w:r>
      <w:r w:rsidRPr="646CEEA5" w:rsidR="1D6E2B83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646CEEA5" w:rsidR="69C9C08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continents</w:t>
      </w:r>
      <w:r w:rsidRPr="646CEEA5" w:rsidR="735413D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overtimes</w:t>
      </w:r>
      <w:r w:rsidRPr="646CEEA5" w:rsidR="1D6E2B83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. </w:t>
      </w:r>
      <w:r w:rsidRPr="646CEEA5" w:rsidR="3F8FE00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As elaborated in the graph, Europe is the top 1 destination of female’s migration choices, followed by Northern America and Oceania. </w:t>
      </w:r>
      <w:r w:rsidRPr="646CEEA5" w:rsidR="45F78D6C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In order to have a more in-depth understanding and comparison, the small multiples principle is used here to create a time series graph as shown in Figure 4.3.</w:t>
      </w:r>
      <w:r w:rsidRPr="646CEEA5" w:rsidR="3B8FDF7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Tufte also emphasized the resolution of data visualizations, thus the below figure is saved as a high-resolution picture not just screenshotted.</w:t>
      </w:r>
    </w:p>
    <w:p w:rsidR="236DCF51" w:rsidP="646CEEA5" w:rsidRDefault="236DCF51" w14:paraId="42D4CC44" w14:textId="48FE37F2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</w:pPr>
      <w:r w:rsidRPr="646CEEA5" w:rsidR="254A0005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>Figure 4.2 - Female Migrants as Percentage of International Migrant Stock in Major Continents (small multiples)</w:t>
      </w:r>
    </w:p>
    <w:p w:rsidR="236DCF51" w:rsidP="646CEEA5" w:rsidRDefault="236DCF51" w14:paraId="7DBEBDCF" w14:textId="425FB226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</w:pPr>
      <w:r w:rsidR="254A0005">
        <w:drawing>
          <wp:inline wp14:editId="3A37313D" wp14:anchorId="77B39DA1">
            <wp:extent cx="5813930" cy="6520296"/>
            <wp:effectExtent l="0" t="0" r="0" b="0"/>
            <wp:docPr id="18348914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a2ebfc427d48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930" cy="652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6DCF51" w:rsidP="646CEEA5" w:rsidRDefault="236DCF51" w14:paraId="68701A12" w14:textId="622B3EA4">
      <w:pPr>
        <w:pStyle w:val="Normal"/>
        <w:bidi w:val="0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</w:pPr>
      <w:r w:rsidRPr="646CEEA5" w:rsidR="3D020FF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The figure above shows the </w:t>
      </w:r>
      <w:r w:rsidRPr="646CEEA5" w:rsidR="4B76056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changing</w:t>
      </w:r>
      <w:r w:rsidRPr="646CEEA5" w:rsidR="3D020FF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trends of all major </w:t>
      </w:r>
      <w:r w:rsidRPr="646CEEA5" w:rsidR="4E2C3AF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continents</w:t>
      </w:r>
      <w:r w:rsidRPr="646CEEA5" w:rsidR="3D020FF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overtime all at once from 1990 to 2015.</w:t>
      </w:r>
      <w:r w:rsidRPr="646CEEA5" w:rsidR="2D1D3BA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It is quite clear that female migrant</w:t>
      </w:r>
      <w:r w:rsidRPr="646CEEA5" w:rsidR="3728BF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s</w:t>
      </w:r>
      <w:r w:rsidRPr="646CEEA5" w:rsidR="191A1AD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are prefer European countries and the percentage of immigrants has been high during these years, the line of indication almost </w:t>
      </w:r>
      <w:r w:rsidRPr="646CEEA5" w:rsidR="4C16529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turn into</w:t>
      </w:r>
      <w:r w:rsidRPr="646CEEA5" w:rsidR="191A1AD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straight line. </w:t>
      </w:r>
      <w:r w:rsidRPr="646CEEA5" w:rsidR="4929801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Females also showed a significant fever towards Nothern America</w:t>
      </w:r>
      <w:r w:rsidRPr="646CEEA5" w:rsidR="0B7795B3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, </w:t>
      </w:r>
      <w:r w:rsidRPr="646CEEA5" w:rsidR="4929801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Oceania</w:t>
      </w:r>
      <w:r w:rsidRPr="646CEEA5" w:rsidR="4581109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and Latin America and the Caribbean. Whears, Africa and Asian </w:t>
      </w:r>
      <w:r w:rsidRPr="646CEEA5" w:rsidR="71309EA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does not interests female migrants as the rest continents do. Especially, Asia experienced a significant drop in female migrants in recent decades. </w:t>
      </w:r>
      <w:r w:rsidRPr="646CEEA5" w:rsidR="21451C4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It would be interesting to further investigate the female </w:t>
      </w:r>
      <w:r w:rsidRPr="646CEEA5" w:rsidR="6063506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migration</w:t>
      </w:r>
      <w:r w:rsidRPr="646CEEA5" w:rsidR="21451C4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destinations between 2005 and 2015 for Asian countries. </w:t>
      </w:r>
      <w:r w:rsidRPr="646CEEA5" w:rsidR="7223997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The small </w:t>
      </w:r>
      <w:r w:rsidRPr="646CEEA5" w:rsidR="7FECD8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multiples</w:t>
      </w:r>
      <w:r w:rsidRPr="646CEEA5" w:rsidR="7223997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proofErr w:type="gramStart"/>
      <w:r w:rsidRPr="646CEEA5" w:rsidR="7223997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does</w:t>
      </w:r>
      <w:proofErr w:type="gramEnd"/>
      <w:r w:rsidRPr="646CEEA5" w:rsidR="7223997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help a lot in</w:t>
      </w:r>
      <w:r w:rsidRPr="646CEEA5" w:rsidR="4D7AED9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visually enforcing comparisons of changes</w:t>
      </w:r>
      <w:r w:rsidRPr="646CEEA5" w:rsidR="647807D8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236DCF51" w:rsidP="646CEEA5" w:rsidRDefault="236DCF51" w14:paraId="3122A82F" w14:textId="70BFCB74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46CEEA5" w:rsidR="647807D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Table </w:t>
      </w:r>
      <w:r w:rsidRPr="646CEEA5" w:rsidR="30C87EA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5</w:t>
      </w:r>
      <w:r w:rsidRPr="646CEEA5" w:rsidR="647807D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- </w:t>
      </w:r>
      <w:r w:rsidRPr="646CEEA5" w:rsidR="4E3BA45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Annual rate of change of the Migrant Stock</w:t>
      </w:r>
    </w:p>
    <w:p w:rsidR="236DCF51" w:rsidP="646CEEA5" w:rsidRDefault="236DCF51" w14:paraId="3F944762" w14:textId="03EE5DEE">
      <w:pPr>
        <w:pStyle w:val="Normal"/>
        <w:bidi w:val="0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</w:pPr>
      <w:r w:rsidRPr="646CEEA5" w:rsidR="74591A8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Histogram will be used to do easy understanding comparisons between male and female migrant stock annual rate of c</w:t>
      </w:r>
      <w:r w:rsidRPr="646CEEA5" w:rsidR="59FCBA0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hange, </w:t>
      </w:r>
      <w:r w:rsidRPr="646CEEA5" w:rsidR="74591A8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adhere to </w:t>
      </w:r>
      <w:r w:rsidRPr="646CEEA5" w:rsidR="15482E0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Tufte content focus and comparisons not just merely </w:t>
      </w:r>
      <w:r w:rsidRPr="646CEEA5" w:rsidR="426395AC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description</w:t>
      </w:r>
      <w:r w:rsidRPr="646CEEA5" w:rsidR="15482E0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principles. </w:t>
      </w:r>
    </w:p>
    <w:p w:rsidR="236DCF51" w:rsidP="646CEEA5" w:rsidRDefault="236DCF51" w14:paraId="69BEAC63" w14:textId="3B3781E2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</w:pPr>
      <w:r w:rsidRPr="646CEEA5" w:rsidR="613BA898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 xml:space="preserve">Figure 5.1 - </w:t>
      </w:r>
      <w:r w:rsidRPr="646CEEA5" w:rsidR="639952D3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>Annual Rate of Change in Percentage of Migrant Stock (1995~2000)</w:t>
      </w:r>
    </w:p>
    <w:p w:rsidR="236DCF51" w:rsidP="646CEEA5" w:rsidRDefault="236DCF51" w14:paraId="1B9D2D03" w14:textId="375AC2C7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</w:pPr>
      <w:r w:rsidR="4BC33710">
        <w:drawing>
          <wp:inline wp14:editId="29E7BF05" wp14:anchorId="562AAE60">
            <wp:extent cx="5746246" cy="3016779"/>
            <wp:effectExtent l="0" t="0" r="0" b="0"/>
            <wp:docPr id="1893140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285c71963540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246" cy="301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6DCF51" w:rsidP="646CEEA5" w:rsidRDefault="236DCF51" w14:paraId="16FAD757" w14:textId="49F85D43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</w:pPr>
      <w:r w:rsidRPr="646CEEA5" w:rsidR="42EBC56C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>Figure 5.2 - Annual Rate of Change in Percentage of Migrant Stock (2000~2005)</w:t>
      </w:r>
    </w:p>
    <w:p w:rsidR="236DCF51" w:rsidP="646CEEA5" w:rsidRDefault="236DCF51" w14:paraId="4BD97480" w14:textId="6D7D8343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</w:pPr>
      <w:r w:rsidR="42EBC56C">
        <w:drawing>
          <wp:inline wp14:editId="31A820BC" wp14:anchorId="7F84B50A">
            <wp:extent cx="5684652" cy="2948914"/>
            <wp:effectExtent l="0" t="0" r="0" b="0"/>
            <wp:docPr id="1508403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fb63f3cce74d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652" cy="294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6DCF51" w:rsidP="646CEEA5" w:rsidRDefault="236DCF51" w14:paraId="72473669" w14:textId="2F14D423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</w:pPr>
      <w:r w:rsidRPr="646CEEA5" w:rsidR="42EBC56C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>Figure 5.3 - Annual Rate of Change in Percentage of Migrant Stock (2005~2010)</w:t>
      </w:r>
    </w:p>
    <w:p w:rsidR="236DCF51" w:rsidP="646CEEA5" w:rsidRDefault="236DCF51" w14:paraId="6E0EF016" w14:textId="1326F5BA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</w:pPr>
      <w:r w:rsidR="42EBC56C">
        <w:drawing>
          <wp:inline wp14:editId="5AF75096" wp14:anchorId="03548B34">
            <wp:extent cx="5619750" cy="2915246"/>
            <wp:effectExtent l="0" t="0" r="0" b="0"/>
            <wp:docPr id="414473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0b363760f04a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91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6DCF51" w:rsidP="646CEEA5" w:rsidRDefault="236DCF51" w14:paraId="575CD359" w14:textId="684AEDC0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</w:pPr>
      <w:r w:rsidRPr="646CEEA5" w:rsidR="42EBC56C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>Figure 5.4 - Annual Rate of Change in Percentage of Migrant Stock (2010~2015)</w:t>
      </w:r>
    </w:p>
    <w:p w:rsidR="236DCF51" w:rsidP="646CEEA5" w:rsidRDefault="236DCF51" w14:paraId="4A3D7D3C" w14:textId="7A749A32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</w:pPr>
      <w:r w:rsidR="42EBC56C">
        <w:drawing>
          <wp:inline wp14:editId="54F65556" wp14:anchorId="01108EBF">
            <wp:extent cx="5575368" cy="2880607"/>
            <wp:effectExtent l="0" t="0" r="0" b="0"/>
            <wp:docPr id="18965590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db8035ac6148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68" cy="288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6DCF51" w:rsidP="646CEEA5" w:rsidRDefault="236DCF51" w14:paraId="550CF613" w14:textId="63E5ACC8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</w:pPr>
      <w:r w:rsidRPr="646CEEA5" w:rsidR="329C531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The histogram above shows a steady increase in male and female migration in most regions, except Africa and Latin America and the Caribbean. </w:t>
      </w:r>
      <w:r w:rsidRPr="646CEEA5" w:rsidR="5CDCA58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Between 1995 to 2000, these two regions </w:t>
      </w:r>
      <w:r w:rsidRPr="646CEEA5" w:rsidR="2163EEF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show</w:t>
      </w:r>
      <w:r w:rsidRPr="646CEEA5" w:rsidR="5CDCA58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a significant negative growth in both male and female migrants, </w:t>
      </w:r>
      <w:r w:rsidRPr="646CEEA5" w:rsidR="76FE226C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that is consistent with the previous analysis that most immigrants would not choose these two regions. </w:t>
      </w:r>
      <w:r w:rsidRPr="646CEEA5" w:rsidR="76FE226C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This may be due to the under development of social, </w:t>
      </w:r>
      <w:r w:rsidRPr="646CEEA5" w:rsidR="453DAB0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economic</w:t>
      </w:r>
      <w:r w:rsidRPr="646CEEA5" w:rsidR="76FE226C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646CEEA5" w:rsidR="6920800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and educational aspects.</w:t>
      </w:r>
      <w:r w:rsidRPr="646CEEA5" w:rsidR="6920800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646CEEA5" w:rsidR="64BDB193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Over time, both regions have seen </w:t>
      </w:r>
      <w:r w:rsidRPr="646CEEA5" w:rsidR="78401F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significant </w:t>
      </w:r>
      <w:r w:rsidRPr="646CEEA5" w:rsidR="64BDB193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grow</w:t>
      </w:r>
      <w:r w:rsidRPr="646CEEA5" w:rsidR="461EC3D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th in overall development</w:t>
      </w:r>
      <w:r w:rsidRPr="646CEEA5" w:rsidR="64BDB193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, </w:t>
      </w:r>
      <w:r w:rsidRPr="646CEEA5" w:rsidR="51A26C2C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thus </w:t>
      </w:r>
      <w:r w:rsidRPr="646CEEA5" w:rsidR="64BDB193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a steady increase in the total number of new immigrants</w:t>
      </w:r>
      <w:r w:rsidRPr="646CEEA5" w:rsidR="494C0E5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have </w:t>
      </w:r>
      <w:r w:rsidRPr="646CEEA5" w:rsidR="361FCF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been</w:t>
      </w:r>
      <w:r w:rsidRPr="646CEEA5" w:rsidR="494C0E5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observed. </w:t>
      </w:r>
      <w:r w:rsidRPr="646CEEA5" w:rsidR="3ACA8D8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Surprisingly, Europe and Northern America have experienced </w:t>
      </w:r>
      <w:r w:rsidRPr="646CEEA5" w:rsidR="2382234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falls in annual rate of change in year 2010 to 2015, which is showing different trends with 2020 UN developments </w:t>
      </w:r>
      <w:r w:rsidRPr="646CEEA5" w:rsidR="52A6867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report,</w:t>
      </w:r>
      <w:r w:rsidRPr="646CEEA5" w:rsidR="2382234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and this could be further investigated</w:t>
      </w:r>
      <w:r w:rsidRPr="646CEEA5" w:rsidR="2382234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. </w:t>
      </w:r>
    </w:p>
    <w:p w:rsidR="236DCF51" w:rsidP="646CEEA5" w:rsidRDefault="236DCF51" w14:paraId="1013F80A" w14:textId="0811BBA5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</w:pPr>
      <w:r w:rsidRPr="646CEEA5" w:rsidR="1D94664C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As mentioned before, I created a new data frame based on the previously cleaned Table 5 used for the following visualization (see code file for process of creating new data frame).</w:t>
      </w:r>
    </w:p>
    <w:p w:rsidR="236DCF51" w:rsidP="646CEEA5" w:rsidRDefault="236DCF51" w14:paraId="110091BF" w14:textId="6B233A0C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</w:pPr>
      <w:r w:rsidRPr="646CEEA5" w:rsidR="5CF2F62D">
        <w:rPr>
          <w:rFonts w:ascii="Times New Roman" w:hAnsi="Times New Roman" w:eastAsia="Times New Roman" w:cs="Times New Roman"/>
          <w:b w:val="0"/>
          <w:bCs w:val="0"/>
          <w:color w:val="2F5496" w:themeColor="accent1" w:themeTint="FF" w:themeShade="BF"/>
          <w:sz w:val="24"/>
          <w:szCs w:val="24"/>
        </w:rPr>
        <w:t>Figure 5.5 - Annual Rate of Change in Percentage of Migrant Stock (2010~2015)</w:t>
      </w:r>
    </w:p>
    <w:p w:rsidR="236DCF51" w:rsidP="646CEEA5" w:rsidRDefault="236DCF51" w14:paraId="759B25BF" w14:textId="354CB98E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</w:pPr>
      <w:r w:rsidR="5CF2F62D">
        <w:drawing>
          <wp:inline wp14:editId="190A9A3C" wp14:anchorId="7A58BC3C">
            <wp:extent cx="5541509" cy="5172075"/>
            <wp:effectExtent l="0" t="0" r="0" b="0"/>
            <wp:docPr id="596560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5c6135047a42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509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6DCF51" w:rsidP="646CEEA5" w:rsidRDefault="236DCF51" w14:paraId="73AB1780" w14:textId="4B7BF24F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</w:pPr>
      <w:r w:rsidRPr="646CEEA5" w:rsidR="73F38C9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Small multiples principle</w:t>
      </w:r>
      <w:r w:rsidRPr="646CEEA5" w:rsidR="54239083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is </w:t>
      </w:r>
      <w:r w:rsidRPr="646CEEA5" w:rsidR="73F38C9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also used for Table 5 to have a better comparison by time span</w:t>
      </w:r>
      <w:r w:rsidRPr="646CEEA5" w:rsidR="12AE5DF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of each time period</w:t>
      </w:r>
      <w:r w:rsidRPr="646CEEA5" w:rsidR="73F38C9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. </w:t>
      </w:r>
      <w:r w:rsidRPr="646CEEA5" w:rsidR="4E6D01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The figure above shows the changing trends of annual rate of change of all major continents overtime 1995~2015 period</w:t>
      </w:r>
      <w:r w:rsidRPr="646CEEA5" w:rsidR="3A989D0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. It is quite clear that all six regions </w:t>
      </w:r>
      <w:r w:rsidRPr="646CEEA5" w:rsidR="108F41DC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have</w:t>
      </w:r>
      <w:r w:rsidRPr="646CEEA5" w:rsidR="3A989D0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experienced some </w:t>
      </w:r>
      <w:r w:rsidRPr="646CEEA5" w:rsidR="57E62A1C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ups</w:t>
      </w:r>
      <w:r w:rsidRPr="646CEEA5" w:rsidR="3A989D0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and downs through years in increases of migration</w:t>
      </w:r>
      <w:r w:rsidRPr="646CEEA5" w:rsidR="2BE8927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of all genders. Surprisingly, Asian has experienced a</w:t>
      </w:r>
      <w:r w:rsidRPr="646CEEA5" w:rsidR="54C8B4A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646CEEA5" w:rsidR="1896E32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major increase in female migrants in 2005~2010 time period and then dropped sharply in 2010 ~ 2015 period. </w:t>
      </w:r>
      <w:r w:rsidRPr="646CEEA5" w:rsidR="155C7B6C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Moreover, both </w:t>
      </w:r>
      <w:r w:rsidRPr="646CEEA5" w:rsidR="66B0F1A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Europe and Northern America continents has experienced falls in migrants of both genders since 2005. However, the annual rate of change is calculated based </w:t>
      </w:r>
      <w:r w:rsidRPr="646CEEA5" w:rsidR="0A8AADB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on previous year, a decrease in annual rate of change does not </w:t>
      </w:r>
      <w:r w:rsidRPr="646CEEA5" w:rsidR="7AEC242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necessarily</w:t>
      </w:r>
      <w:r w:rsidRPr="646CEEA5" w:rsidR="0A8AADB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lead to a decrease in its overall migration performance</w:t>
      </w:r>
      <w:r w:rsidRPr="646CEEA5" w:rsidR="63FABC0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. </w:t>
      </w:r>
      <w:r w:rsidRPr="646CEEA5" w:rsidR="1BC87BE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Migration will normally be related to the economic and social environment of </w:t>
      </w:r>
      <w:r w:rsidRPr="646CEEA5" w:rsidR="152F585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a country and </w:t>
      </w:r>
      <w:r w:rsidRPr="646CEEA5" w:rsidR="6487C85C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region,</w:t>
      </w:r>
      <w:r w:rsidRPr="646CEEA5" w:rsidR="152F585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and it will </w:t>
      </w:r>
      <w:r w:rsidRPr="646CEEA5" w:rsidR="1BC87BE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vary from </w:t>
      </w:r>
      <w:r w:rsidRPr="646CEEA5" w:rsidR="4DF59C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time </w:t>
      </w:r>
      <w:r w:rsidRPr="646CEEA5" w:rsidR="1BC87BE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to </w:t>
      </w:r>
      <w:r w:rsidRPr="646CEEA5" w:rsidR="08B5C523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time according to </w:t>
      </w:r>
      <w:r w:rsidRPr="646CEEA5" w:rsidR="3132E6C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numerous social and political </w:t>
      </w:r>
      <w:r w:rsidRPr="646CEEA5" w:rsidR="08B5C523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factors</w:t>
      </w:r>
      <w:r w:rsidRPr="646CEEA5" w:rsidR="1BC87BE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.</w:t>
      </w:r>
    </w:p>
    <w:p w:rsidR="236DCF51" w:rsidP="646CEEA5" w:rsidRDefault="236DCF51" w14:paraId="0D221E6D" w14:textId="2D2DC5BD">
      <w:pPr>
        <w:pStyle w:val="Normal"/>
        <w:bidi w:val="0"/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646CEEA5" w:rsidR="04245B9F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Limitation </w:t>
      </w:r>
    </w:p>
    <w:p w:rsidR="236DCF51" w:rsidP="646CEEA5" w:rsidRDefault="236DCF51" w14:paraId="76A18DF5" w14:textId="4F50AC16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</w:pPr>
      <w:r w:rsidRPr="646CEEA5" w:rsidR="52E3341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There are multiple limitations </w:t>
      </w:r>
      <w:r w:rsidRPr="646CEEA5" w:rsidR="1079982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were discovered</w:t>
      </w:r>
      <w:r w:rsidRPr="646CEEA5" w:rsidR="52E3341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during the</w:t>
      </w:r>
      <w:r w:rsidRPr="646CEEA5" w:rsidR="0DE171A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coding process about figure presentations. First, </w:t>
      </w:r>
      <w:r w:rsidRPr="646CEEA5" w:rsidR="17D3295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the presentation of color and font size of figures created by seaborn will differ each time running the code</w:t>
      </w:r>
      <w:r w:rsidRPr="646CEEA5" w:rsidR="4A2F13E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even on </w:t>
      </w:r>
      <w:r w:rsidRPr="646CEEA5" w:rsidR="411247E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the</w:t>
      </w:r>
      <w:r w:rsidRPr="646CEEA5" w:rsidR="4A2F13E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same computer</w:t>
      </w:r>
      <w:r w:rsidRPr="646CEEA5" w:rsidR="17D3295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. </w:t>
      </w:r>
      <w:r w:rsidRPr="646CEEA5" w:rsidR="353A829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Initially, I set the figure size as </w:t>
      </w:r>
      <w:r w:rsidRPr="646CEEA5" w:rsidR="144A297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a certain</w:t>
      </w:r>
      <w:r w:rsidRPr="646CEEA5" w:rsidR="353A829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proportion to make the figure in </w:t>
      </w:r>
      <w:r w:rsidRPr="646CEEA5" w:rsidR="1031959C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higher</w:t>
      </w:r>
      <w:r w:rsidRPr="646CEEA5" w:rsidR="353A829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resolution w</w:t>
      </w:r>
      <w:r w:rsidRPr="646CEEA5" w:rsidR="151CF3B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ith clear indicates of the content. However, the figures changed each time run the code based on previous figure proportion</w:t>
      </w:r>
      <w:r w:rsidRPr="646CEEA5" w:rsidR="1D8C81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. </w:t>
      </w:r>
      <w:r w:rsidRPr="646CEEA5" w:rsidR="17D3295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Thus,</w:t>
      </w:r>
      <w:r w:rsidRPr="646CEEA5" w:rsidR="5D35D9E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I </w:t>
      </w:r>
      <w:r w:rsidRPr="646CEEA5" w:rsidR="11E28BF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decided</w:t>
      </w:r>
      <w:r w:rsidRPr="646CEEA5" w:rsidR="5D35D9E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to just keep the</w:t>
      </w:r>
      <w:r w:rsidRPr="646CEEA5" w:rsidR="17D3295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646CEEA5" w:rsidR="65DCB28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simple c</w:t>
      </w:r>
      <w:r w:rsidRPr="646CEEA5" w:rsidR="17D3295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ode </w:t>
      </w:r>
      <w:r w:rsidRPr="646CEEA5" w:rsidR="2D169E7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using default color and font size setting. </w:t>
      </w:r>
      <w:r w:rsidRPr="646CEEA5" w:rsidR="0222BA5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Secondly, </w:t>
      </w:r>
      <w:proofErr w:type="spellStart"/>
      <w:r w:rsidRPr="646CEEA5" w:rsidR="7D32416C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plotly</w:t>
      </w:r>
      <w:proofErr w:type="spellEnd"/>
      <w:r w:rsidRPr="646CEEA5" w:rsidR="7D32416C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will create high quality interactive figures and it works well in coding </w:t>
      </w:r>
      <w:r w:rsidRPr="646CEEA5" w:rsidR="26EE61B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documents. However, the interactive motions are hard to capture and frame in the writeups</w:t>
      </w:r>
      <w:r w:rsidRPr="646CEEA5" w:rsidR="2163F72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which will lead to a loss in information display, like the </w:t>
      </w:r>
      <w:r w:rsidRPr="646CEEA5" w:rsidR="789AD1A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scatter plot, choropleth map and </w:t>
      </w:r>
      <w:r w:rsidRPr="646CEEA5" w:rsidR="2163F72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boxplot </w:t>
      </w:r>
      <w:r w:rsidRPr="646CEEA5" w:rsidR="69961BE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mentioned in above sections. </w:t>
      </w:r>
      <w:r w:rsidRPr="646CEEA5" w:rsidR="67626D8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The</w:t>
      </w:r>
      <w:r w:rsidRPr="646CEEA5" w:rsidR="69961BE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646CEEA5" w:rsidR="3653D3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actual</w:t>
      </w:r>
      <w:r w:rsidRPr="646CEEA5" w:rsidR="3653D3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646CEEA5" w:rsidR="69961BE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interactive display will </w:t>
      </w:r>
      <w:proofErr w:type="gramStart"/>
      <w:r w:rsidRPr="646CEEA5" w:rsidR="69961BE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show</w:t>
      </w:r>
      <w:proofErr w:type="gramEnd"/>
      <w:r w:rsidRPr="646CEEA5" w:rsidR="69961BE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as the figure below.</w:t>
      </w:r>
    </w:p>
    <w:p w:rsidR="236DCF51" w:rsidP="646CEEA5" w:rsidRDefault="236DCF51" w14:paraId="537459DE" w14:textId="0081D9DC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</w:pPr>
      <w:r w:rsidR="1C748DB1">
        <w:drawing>
          <wp:inline wp14:editId="43B91B42" wp14:anchorId="2DEBFC0C">
            <wp:extent cx="5286375" cy="2466975"/>
            <wp:effectExtent l="0" t="0" r="0" b="0"/>
            <wp:docPr id="8511304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62074d80d545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C748DB1">
        <w:drawing>
          <wp:inline wp14:editId="0AD96ADF" wp14:anchorId="3F981437">
            <wp:extent cx="5334000" cy="2566988"/>
            <wp:effectExtent l="0" t="0" r="0" b="0"/>
            <wp:docPr id="518987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611d2599054a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6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6DCF51" w:rsidP="646CEEA5" w:rsidRDefault="236DCF51" w14:paraId="0A934B73" w14:textId="7FDF5998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</w:pPr>
    </w:p>
    <w:p w:rsidR="236DCF51" w:rsidP="646CEEA5" w:rsidRDefault="236DCF51" w14:paraId="6A723E8F" w14:textId="5E7781BA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646CEEA5" w:rsidR="236DCF51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Conclusion </w:t>
      </w:r>
    </w:p>
    <w:p w:rsidR="72ADEA13" w:rsidP="646CEEA5" w:rsidRDefault="72ADEA13" w14:paraId="26427A5A" w14:textId="6C1A957B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</w:pPr>
      <w:r w:rsidRPr="646CEEA5" w:rsidR="72ADEA13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To conclude, through the visual analysis of the above tables, migrants showed a clear favor </w:t>
      </w:r>
      <w:r w:rsidRPr="646CEEA5" w:rsidR="45E8948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to Europe and Nothern America continents </w:t>
      </w:r>
      <w:r w:rsidRPr="646CEEA5" w:rsidR="72ADEA13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for their</w:t>
      </w:r>
      <w:r w:rsidRPr="646CEEA5" w:rsidR="3FB0E9E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646CEEA5" w:rsidR="7333CD8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migrants'</w:t>
      </w:r>
      <w:r w:rsidRPr="646CEEA5" w:rsidR="3FB0E9E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destination</w:t>
      </w:r>
      <w:r w:rsidRPr="646CEEA5" w:rsidR="0B98BB9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s. Moreover, female also </w:t>
      </w:r>
      <w:r w:rsidRPr="646CEEA5" w:rsidR="12E0270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is</w:t>
      </w:r>
      <w:r w:rsidRPr="646CEEA5" w:rsidR="0B98BB9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more likely to migrant than male with slightly differences</w:t>
      </w:r>
      <w:r w:rsidRPr="646CEEA5" w:rsidR="7C34275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over time</w:t>
      </w:r>
      <w:r w:rsidRPr="646CEEA5" w:rsidR="0B98BB9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.</w:t>
      </w:r>
      <w:r w:rsidRPr="646CEEA5" w:rsidR="120FE70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646CEEA5" w:rsidR="0B98BB9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646CEEA5" w:rsidR="3A77711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These two findings </w:t>
      </w:r>
      <w:r w:rsidRPr="646CEEA5" w:rsidR="71DF5B6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are in</w:t>
      </w:r>
      <w:r w:rsidRPr="646CEEA5" w:rsidR="3A77711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accordance with the </w:t>
      </w:r>
      <w:r w:rsidRPr="646CEEA5" w:rsidR="2926551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recent trends reported by </w:t>
      </w:r>
      <w:r w:rsidRPr="646CEEA5" w:rsidR="2F1C30A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the UN</w:t>
      </w:r>
      <w:r w:rsidRPr="646CEEA5" w:rsidR="2926551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as of 2020. </w:t>
      </w:r>
      <w:r w:rsidRPr="646CEEA5" w:rsidR="7EFBE4EC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However, there are still some interesting findings that can be explored later. For instance, Oceania also </w:t>
      </w:r>
      <w:r w:rsidRPr="646CEEA5" w:rsidR="32BD746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attracted</w:t>
      </w:r>
      <w:r w:rsidRPr="646CEEA5" w:rsidR="7EFBE4EC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646CEEA5" w:rsidR="1BDA277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lots</w:t>
      </w:r>
      <w:r w:rsidRPr="646CEEA5" w:rsidR="7EFBE4EC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of migrants in the past and </w:t>
      </w:r>
      <w:proofErr w:type="gramStart"/>
      <w:r w:rsidRPr="646CEEA5" w:rsidR="14A32BF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its</w:t>
      </w:r>
      <w:proofErr w:type="gramEnd"/>
      <w:r w:rsidRPr="646CEEA5" w:rsidR="7EFBE4EC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ranking sometimes can higher </w:t>
      </w:r>
      <w:r w:rsidRPr="646CEEA5" w:rsidR="4722072C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than Europe and Nothern America. </w:t>
      </w:r>
      <w:r w:rsidRPr="646CEEA5" w:rsidR="5E5D086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The </w:t>
      </w:r>
      <w:r w:rsidRPr="646CEEA5" w:rsidR="19CD8C2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patterns and reasons behind this can be further studied for interest. </w:t>
      </w:r>
    </w:p>
    <w:p w:rsidR="646CEEA5" w:rsidP="646CEEA5" w:rsidRDefault="646CEEA5" w14:paraId="52CAD7F6" w14:textId="406E3F04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h5YYLjvYeMfpID" int2:id="QCQ0riiC">
      <int2:state int2:type="LegacyProofing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37a843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55db18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ced92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06F2463"/>
    <w:rsid w:val="003FD65C"/>
    <w:rsid w:val="005B9B8F"/>
    <w:rsid w:val="008BBE62"/>
    <w:rsid w:val="008E0A52"/>
    <w:rsid w:val="00BD2726"/>
    <w:rsid w:val="00FCA10B"/>
    <w:rsid w:val="010AD747"/>
    <w:rsid w:val="0139CF7C"/>
    <w:rsid w:val="0154D780"/>
    <w:rsid w:val="015F7937"/>
    <w:rsid w:val="017F3014"/>
    <w:rsid w:val="01CAC711"/>
    <w:rsid w:val="01CECEFA"/>
    <w:rsid w:val="01F76BF0"/>
    <w:rsid w:val="0222BA50"/>
    <w:rsid w:val="024612DD"/>
    <w:rsid w:val="024A087E"/>
    <w:rsid w:val="0251BEBE"/>
    <w:rsid w:val="02800BF3"/>
    <w:rsid w:val="0283BF06"/>
    <w:rsid w:val="02DCC0A5"/>
    <w:rsid w:val="02E39FFE"/>
    <w:rsid w:val="032048A5"/>
    <w:rsid w:val="032A66F2"/>
    <w:rsid w:val="0364B38B"/>
    <w:rsid w:val="03E47957"/>
    <w:rsid w:val="04245B9F"/>
    <w:rsid w:val="04C3058D"/>
    <w:rsid w:val="0548F0E1"/>
    <w:rsid w:val="05646673"/>
    <w:rsid w:val="05E4B6EA"/>
    <w:rsid w:val="0611D1B1"/>
    <w:rsid w:val="061B40C0"/>
    <w:rsid w:val="0632EA5A"/>
    <w:rsid w:val="06A209FC"/>
    <w:rsid w:val="06A26C7F"/>
    <w:rsid w:val="0701007E"/>
    <w:rsid w:val="070F0FE9"/>
    <w:rsid w:val="071EE116"/>
    <w:rsid w:val="0768E39D"/>
    <w:rsid w:val="077FAFF0"/>
    <w:rsid w:val="0795674B"/>
    <w:rsid w:val="07ACE2BD"/>
    <w:rsid w:val="07F36D6D"/>
    <w:rsid w:val="0802A329"/>
    <w:rsid w:val="080C9E35"/>
    <w:rsid w:val="081DA74F"/>
    <w:rsid w:val="0853F1F1"/>
    <w:rsid w:val="085E000B"/>
    <w:rsid w:val="086EB460"/>
    <w:rsid w:val="08B5C523"/>
    <w:rsid w:val="08B99729"/>
    <w:rsid w:val="08FCC0CF"/>
    <w:rsid w:val="0915CAC3"/>
    <w:rsid w:val="091F678C"/>
    <w:rsid w:val="0948B31E"/>
    <w:rsid w:val="0992CA67"/>
    <w:rsid w:val="0997F737"/>
    <w:rsid w:val="0999A876"/>
    <w:rsid w:val="09AA8A39"/>
    <w:rsid w:val="09D4E5F7"/>
    <w:rsid w:val="0A217CB4"/>
    <w:rsid w:val="0A4977A8"/>
    <w:rsid w:val="0A8AADB4"/>
    <w:rsid w:val="0AAEDC99"/>
    <w:rsid w:val="0ABEB7C3"/>
    <w:rsid w:val="0AF290F0"/>
    <w:rsid w:val="0B083771"/>
    <w:rsid w:val="0B7795B3"/>
    <w:rsid w:val="0B7DB420"/>
    <w:rsid w:val="0B98BB96"/>
    <w:rsid w:val="0BC4655E"/>
    <w:rsid w:val="0C0ED7B9"/>
    <w:rsid w:val="0C200FC2"/>
    <w:rsid w:val="0C2B746F"/>
    <w:rsid w:val="0C559DE5"/>
    <w:rsid w:val="0C6A7A8E"/>
    <w:rsid w:val="0C7159E7"/>
    <w:rsid w:val="0C77F10A"/>
    <w:rsid w:val="0C7C031D"/>
    <w:rsid w:val="0CB1DA7B"/>
    <w:rsid w:val="0D0E9C3C"/>
    <w:rsid w:val="0D21E57C"/>
    <w:rsid w:val="0D5D28D9"/>
    <w:rsid w:val="0D6035BF"/>
    <w:rsid w:val="0D85777A"/>
    <w:rsid w:val="0DC2BE9A"/>
    <w:rsid w:val="0DD01969"/>
    <w:rsid w:val="0DE171A6"/>
    <w:rsid w:val="0DE64654"/>
    <w:rsid w:val="0E2490F9"/>
    <w:rsid w:val="0E73D2A3"/>
    <w:rsid w:val="0EC4966F"/>
    <w:rsid w:val="0F2B642E"/>
    <w:rsid w:val="0F3B065E"/>
    <w:rsid w:val="0F56B383"/>
    <w:rsid w:val="0F799BC6"/>
    <w:rsid w:val="0F7A5B79"/>
    <w:rsid w:val="0F9B3AB1"/>
    <w:rsid w:val="0FA8FAA9"/>
    <w:rsid w:val="0FC9330F"/>
    <w:rsid w:val="0FE1BA26"/>
    <w:rsid w:val="1029618E"/>
    <w:rsid w:val="102CD2D8"/>
    <w:rsid w:val="1031959C"/>
    <w:rsid w:val="10639B92"/>
    <w:rsid w:val="10799826"/>
    <w:rsid w:val="108F41DC"/>
    <w:rsid w:val="10B1A61F"/>
    <w:rsid w:val="10BB216C"/>
    <w:rsid w:val="10F568ED"/>
    <w:rsid w:val="1125C334"/>
    <w:rsid w:val="119AEB61"/>
    <w:rsid w:val="11E28BFA"/>
    <w:rsid w:val="120FE704"/>
    <w:rsid w:val="122E5F99"/>
    <w:rsid w:val="12434EA8"/>
    <w:rsid w:val="12695FF4"/>
    <w:rsid w:val="127F9931"/>
    <w:rsid w:val="12989B0D"/>
    <w:rsid w:val="12AE5DF8"/>
    <w:rsid w:val="12CC651D"/>
    <w:rsid w:val="12DCFC7A"/>
    <w:rsid w:val="12E02709"/>
    <w:rsid w:val="12E85ADC"/>
    <w:rsid w:val="12F69524"/>
    <w:rsid w:val="12F9F7AF"/>
    <w:rsid w:val="1376B769"/>
    <w:rsid w:val="137B11E0"/>
    <w:rsid w:val="13DF8386"/>
    <w:rsid w:val="1401A143"/>
    <w:rsid w:val="14102F92"/>
    <w:rsid w:val="142A2D53"/>
    <w:rsid w:val="144A297A"/>
    <w:rsid w:val="14500A3B"/>
    <w:rsid w:val="14A32BF2"/>
    <w:rsid w:val="1512E458"/>
    <w:rsid w:val="151CF3B9"/>
    <w:rsid w:val="1525042D"/>
    <w:rsid w:val="152F5858"/>
    <w:rsid w:val="15319189"/>
    <w:rsid w:val="1545EC4E"/>
    <w:rsid w:val="15482E08"/>
    <w:rsid w:val="155C7B6C"/>
    <w:rsid w:val="157E9E8F"/>
    <w:rsid w:val="15A04401"/>
    <w:rsid w:val="161F8C43"/>
    <w:rsid w:val="167F7AB5"/>
    <w:rsid w:val="16AF9F65"/>
    <w:rsid w:val="16D7B009"/>
    <w:rsid w:val="16EB9349"/>
    <w:rsid w:val="1710595B"/>
    <w:rsid w:val="17204537"/>
    <w:rsid w:val="1729831B"/>
    <w:rsid w:val="176183C9"/>
    <w:rsid w:val="17696592"/>
    <w:rsid w:val="1787AAFD"/>
    <w:rsid w:val="17A686C0"/>
    <w:rsid w:val="17D32956"/>
    <w:rsid w:val="17D3A3AE"/>
    <w:rsid w:val="17DAD09B"/>
    <w:rsid w:val="17E2BE69"/>
    <w:rsid w:val="180BEC9C"/>
    <w:rsid w:val="182A642A"/>
    <w:rsid w:val="1896E32B"/>
    <w:rsid w:val="18C5537C"/>
    <w:rsid w:val="18E43D0C"/>
    <w:rsid w:val="191A1AD7"/>
    <w:rsid w:val="192E0D14"/>
    <w:rsid w:val="19375E9E"/>
    <w:rsid w:val="1942FC53"/>
    <w:rsid w:val="19BD0C7D"/>
    <w:rsid w:val="19CD8C22"/>
    <w:rsid w:val="1A07B020"/>
    <w:rsid w:val="1A20C492"/>
    <w:rsid w:val="1A2B536A"/>
    <w:rsid w:val="1A56B290"/>
    <w:rsid w:val="1AD32EFF"/>
    <w:rsid w:val="1AD77702"/>
    <w:rsid w:val="1B0AE6CF"/>
    <w:rsid w:val="1B25AAF8"/>
    <w:rsid w:val="1B74C18A"/>
    <w:rsid w:val="1B7D970D"/>
    <w:rsid w:val="1B9BC570"/>
    <w:rsid w:val="1BC87BE2"/>
    <w:rsid w:val="1BDA2771"/>
    <w:rsid w:val="1BE5785F"/>
    <w:rsid w:val="1BF9FA0C"/>
    <w:rsid w:val="1C380987"/>
    <w:rsid w:val="1C476706"/>
    <w:rsid w:val="1C5A1F06"/>
    <w:rsid w:val="1C6EFF60"/>
    <w:rsid w:val="1C748DB1"/>
    <w:rsid w:val="1CE95F64"/>
    <w:rsid w:val="1CF761FA"/>
    <w:rsid w:val="1CFBD3C3"/>
    <w:rsid w:val="1D06DCBF"/>
    <w:rsid w:val="1D12B62A"/>
    <w:rsid w:val="1D2DC930"/>
    <w:rsid w:val="1D39336A"/>
    <w:rsid w:val="1D4879B7"/>
    <w:rsid w:val="1D6E2B83"/>
    <w:rsid w:val="1D83FA4D"/>
    <w:rsid w:val="1D8C817F"/>
    <w:rsid w:val="1D94664C"/>
    <w:rsid w:val="1DABF651"/>
    <w:rsid w:val="1DD5694F"/>
    <w:rsid w:val="1DFD4519"/>
    <w:rsid w:val="1E210D34"/>
    <w:rsid w:val="1E236B3E"/>
    <w:rsid w:val="1E4EB221"/>
    <w:rsid w:val="1E927A20"/>
    <w:rsid w:val="1EBA2C5B"/>
    <w:rsid w:val="1EC99991"/>
    <w:rsid w:val="1ED59CD7"/>
    <w:rsid w:val="1F0CE2A1"/>
    <w:rsid w:val="1F296E00"/>
    <w:rsid w:val="1F3CD00A"/>
    <w:rsid w:val="1F865976"/>
    <w:rsid w:val="1F99157A"/>
    <w:rsid w:val="1FCE2A1E"/>
    <w:rsid w:val="1FF91438"/>
    <w:rsid w:val="1FFE744D"/>
    <w:rsid w:val="200DD2ED"/>
    <w:rsid w:val="203C62CF"/>
    <w:rsid w:val="206569F2"/>
    <w:rsid w:val="2096719E"/>
    <w:rsid w:val="20A97257"/>
    <w:rsid w:val="20BA12FC"/>
    <w:rsid w:val="210901BD"/>
    <w:rsid w:val="21451C48"/>
    <w:rsid w:val="214E0E38"/>
    <w:rsid w:val="2163EEF4"/>
    <w:rsid w:val="2163F727"/>
    <w:rsid w:val="21C7DCA1"/>
    <w:rsid w:val="21D4D7CC"/>
    <w:rsid w:val="21DCD325"/>
    <w:rsid w:val="22029FF0"/>
    <w:rsid w:val="2209BF94"/>
    <w:rsid w:val="22425854"/>
    <w:rsid w:val="229A43CF"/>
    <w:rsid w:val="22ACCF02"/>
    <w:rsid w:val="22DDB404"/>
    <w:rsid w:val="22E9570C"/>
    <w:rsid w:val="23292586"/>
    <w:rsid w:val="236869D3"/>
    <w:rsid w:val="236DCF51"/>
    <w:rsid w:val="2378A386"/>
    <w:rsid w:val="23822345"/>
    <w:rsid w:val="238DAD39"/>
    <w:rsid w:val="23ACCB00"/>
    <w:rsid w:val="23B0D128"/>
    <w:rsid w:val="23D46036"/>
    <w:rsid w:val="23E5D95B"/>
    <w:rsid w:val="23EF40BB"/>
    <w:rsid w:val="23FB4A32"/>
    <w:rsid w:val="240D09E4"/>
    <w:rsid w:val="2450991E"/>
    <w:rsid w:val="24585928"/>
    <w:rsid w:val="2463F346"/>
    <w:rsid w:val="25416056"/>
    <w:rsid w:val="254A0005"/>
    <w:rsid w:val="2581E064"/>
    <w:rsid w:val="25A330BA"/>
    <w:rsid w:val="25B6E09C"/>
    <w:rsid w:val="25D54B43"/>
    <w:rsid w:val="26039747"/>
    <w:rsid w:val="261C9221"/>
    <w:rsid w:val="26217F5B"/>
    <w:rsid w:val="264A64C7"/>
    <w:rsid w:val="26691C2B"/>
    <w:rsid w:val="266C1247"/>
    <w:rsid w:val="268B5F07"/>
    <w:rsid w:val="26C120B0"/>
    <w:rsid w:val="26EE61BB"/>
    <w:rsid w:val="26FDC271"/>
    <w:rsid w:val="26FF8B7E"/>
    <w:rsid w:val="272FEA89"/>
    <w:rsid w:val="275CDA3F"/>
    <w:rsid w:val="2795443E"/>
    <w:rsid w:val="2807E2A8"/>
    <w:rsid w:val="282EE775"/>
    <w:rsid w:val="285AB8BA"/>
    <w:rsid w:val="2867D298"/>
    <w:rsid w:val="289094A0"/>
    <w:rsid w:val="289B5BDF"/>
    <w:rsid w:val="289CBA73"/>
    <w:rsid w:val="28BD1458"/>
    <w:rsid w:val="28EE6B33"/>
    <w:rsid w:val="290A5A34"/>
    <w:rsid w:val="2922ABB3"/>
    <w:rsid w:val="2926551D"/>
    <w:rsid w:val="2993356A"/>
    <w:rsid w:val="2993E190"/>
    <w:rsid w:val="29AFDC79"/>
    <w:rsid w:val="2A03A2F9"/>
    <w:rsid w:val="2A24C165"/>
    <w:rsid w:val="2A3F1F5E"/>
    <w:rsid w:val="2A49BB43"/>
    <w:rsid w:val="2AA01646"/>
    <w:rsid w:val="2AB81ECD"/>
    <w:rsid w:val="2B90FFC6"/>
    <w:rsid w:val="2BA60274"/>
    <w:rsid w:val="2BB0A1DA"/>
    <w:rsid w:val="2BB4461F"/>
    <w:rsid w:val="2BCF6504"/>
    <w:rsid w:val="2BD89520"/>
    <w:rsid w:val="2BE15DBF"/>
    <w:rsid w:val="2BE89279"/>
    <w:rsid w:val="2C834452"/>
    <w:rsid w:val="2C927AA9"/>
    <w:rsid w:val="2CC9A8E9"/>
    <w:rsid w:val="2CD50F12"/>
    <w:rsid w:val="2D0EA97D"/>
    <w:rsid w:val="2D169E74"/>
    <w:rsid w:val="2D1D3BA1"/>
    <w:rsid w:val="2D6D2F2F"/>
    <w:rsid w:val="2DBF0A7B"/>
    <w:rsid w:val="2DCE5C68"/>
    <w:rsid w:val="2DEED69D"/>
    <w:rsid w:val="2E60F682"/>
    <w:rsid w:val="2EFB93A9"/>
    <w:rsid w:val="2F10389C"/>
    <w:rsid w:val="2F140C72"/>
    <w:rsid w:val="2F18FE81"/>
    <w:rsid w:val="2F1B66F9"/>
    <w:rsid w:val="2F1C30A1"/>
    <w:rsid w:val="2F2099CC"/>
    <w:rsid w:val="2F32CD6F"/>
    <w:rsid w:val="2F4C5035"/>
    <w:rsid w:val="2F4ECD9C"/>
    <w:rsid w:val="2F60735B"/>
    <w:rsid w:val="2F673277"/>
    <w:rsid w:val="2F6A2CC9"/>
    <w:rsid w:val="2FB83780"/>
    <w:rsid w:val="2FD120BC"/>
    <w:rsid w:val="300839C3"/>
    <w:rsid w:val="3036F17B"/>
    <w:rsid w:val="3068683C"/>
    <w:rsid w:val="308ECEC2"/>
    <w:rsid w:val="309C9C48"/>
    <w:rsid w:val="30C87EAD"/>
    <w:rsid w:val="30CD1B2B"/>
    <w:rsid w:val="30E9DA7B"/>
    <w:rsid w:val="30FC43BC"/>
    <w:rsid w:val="310302D8"/>
    <w:rsid w:val="3132E6CF"/>
    <w:rsid w:val="316DD386"/>
    <w:rsid w:val="326294B3"/>
    <w:rsid w:val="3264F2BD"/>
    <w:rsid w:val="329C5310"/>
    <w:rsid w:val="32BD746B"/>
    <w:rsid w:val="32F1C437"/>
    <w:rsid w:val="33B6045D"/>
    <w:rsid w:val="33B89E00"/>
    <w:rsid w:val="33C53B41"/>
    <w:rsid w:val="33CE8EF4"/>
    <w:rsid w:val="33DA9CF9"/>
    <w:rsid w:val="33E79AC1"/>
    <w:rsid w:val="343AA39A"/>
    <w:rsid w:val="348CF785"/>
    <w:rsid w:val="349C252D"/>
    <w:rsid w:val="34E04B20"/>
    <w:rsid w:val="34E2FFF9"/>
    <w:rsid w:val="34F53A99"/>
    <w:rsid w:val="34F8C483"/>
    <w:rsid w:val="34FEB711"/>
    <w:rsid w:val="353A8292"/>
    <w:rsid w:val="355CA7C9"/>
    <w:rsid w:val="356F17A8"/>
    <w:rsid w:val="35836B22"/>
    <w:rsid w:val="359AA4E2"/>
    <w:rsid w:val="35A2E516"/>
    <w:rsid w:val="35ED41E8"/>
    <w:rsid w:val="361FCF35"/>
    <w:rsid w:val="3653D335"/>
    <w:rsid w:val="367ED05A"/>
    <w:rsid w:val="36EA0928"/>
    <w:rsid w:val="36F75B28"/>
    <w:rsid w:val="37123DBB"/>
    <w:rsid w:val="3728BF7F"/>
    <w:rsid w:val="37441347"/>
    <w:rsid w:val="37591BFF"/>
    <w:rsid w:val="37C13EBF"/>
    <w:rsid w:val="385361DE"/>
    <w:rsid w:val="38A27067"/>
    <w:rsid w:val="38B97A03"/>
    <w:rsid w:val="38B9C484"/>
    <w:rsid w:val="38F5016C"/>
    <w:rsid w:val="390C9024"/>
    <w:rsid w:val="3911AAA4"/>
    <w:rsid w:val="39369A92"/>
    <w:rsid w:val="394DEABF"/>
    <w:rsid w:val="39752118"/>
    <w:rsid w:val="39888AAF"/>
    <w:rsid w:val="398C5CC0"/>
    <w:rsid w:val="39C1C459"/>
    <w:rsid w:val="39DB9A7B"/>
    <w:rsid w:val="3A0A72B9"/>
    <w:rsid w:val="3A135680"/>
    <w:rsid w:val="3A2470E7"/>
    <w:rsid w:val="3A32D697"/>
    <w:rsid w:val="3A56DC45"/>
    <w:rsid w:val="3A61B30A"/>
    <w:rsid w:val="3A77711B"/>
    <w:rsid w:val="3A989D0E"/>
    <w:rsid w:val="3AAB1388"/>
    <w:rsid w:val="3AB88B9C"/>
    <w:rsid w:val="3AC6A362"/>
    <w:rsid w:val="3ACA8D82"/>
    <w:rsid w:val="3B43A2B3"/>
    <w:rsid w:val="3B46F245"/>
    <w:rsid w:val="3B8FDF79"/>
    <w:rsid w:val="3BBD84AA"/>
    <w:rsid w:val="3BC3F32A"/>
    <w:rsid w:val="3BE0C1A4"/>
    <w:rsid w:val="3C24EE8D"/>
    <w:rsid w:val="3C70D37C"/>
    <w:rsid w:val="3D020FFD"/>
    <w:rsid w:val="3D2263F7"/>
    <w:rsid w:val="3D31E475"/>
    <w:rsid w:val="3D416E36"/>
    <w:rsid w:val="3D97A7C3"/>
    <w:rsid w:val="3E5B82CA"/>
    <w:rsid w:val="3E9AD103"/>
    <w:rsid w:val="3F0D5B47"/>
    <w:rsid w:val="3F8FE006"/>
    <w:rsid w:val="3FA507D7"/>
    <w:rsid w:val="3FAE7169"/>
    <w:rsid w:val="3FB0E9E5"/>
    <w:rsid w:val="3FB51753"/>
    <w:rsid w:val="3FE1EF32"/>
    <w:rsid w:val="4020F99A"/>
    <w:rsid w:val="403105DD"/>
    <w:rsid w:val="4043F392"/>
    <w:rsid w:val="40476023"/>
    <w:rsid w:val="405A90AE"/>
    <w:rsid w:val="40CDEE23"/>
    <w:rsid w:val="40E2056D"/>
    <w:rsid w:val="40EC07D7"/>
    <w:rsid w:val="40F548ED"/>
    <w:rsid w:val="411247E0"/>
    <w:rsid w:val="412DF13B"/>
    <w:rsid w:val="412F3A1D"/>
    <w:rsid w:val="4158C156"/>
    <w:rsid w:val="4174D15D"/>
    <w:rsid w:val="41B7B8FF"/>
    <w:rsid w:val="41B7C438"/>
    <w:rsid w:val="41F03AB9"/>
    <w:rsid w:val="41F2DE81"/>
    <w:rsid w:val="420FE3E7"/>
    <w:rsid w:val="421E9C8F"/>
    <w:rsid w:val="423E4277"/>
    <w:rsid w:val="425D910B"/>
    <w:rsid w:val="426395AC"/>
    <w:rsid w:val="4269BE84"/>
    <w:rsid w:val="42EBC56C"/>
    <w:rsid w:val="430B51C6"/>
    <w:rsid w:val="4310A1BE"/>
    <w:rsid w:val="433F71FF"/>
    <w:rsid w:val="438554C1"/>
    <w:rsid w:val="43B0436F"/>
    <w:rsid w:val="43D86B60"/>
    <w:rsid w:val="44464585"/>
    <w:rsid w:val="4448D115"/>
    <w:rsid w:val="444D2686"/>
    <w:rsid w:val="44545D4B"/>
    <w:rsid w:val="44607063"/>
    <w:rsid w:val="453DAB00"/>
    <w:rsid w:val="456D0B0A"/>
    <w:rsid w:val="45811090"/>
    <w:rsid w:val="458DD055"/>
    <w:rsid w:val="45BADAD3"/>
    <w:rsid w:val="45E8948D"/>
    <w:rsid w:val="45F78D6C"/>
    <w:rsid w:val="461EC3D6"/>
    <w:rsid w:val="464E699E"/>
    <w:rsid w:val="466ADFC8"/>
    <w:rsid w:val="46703880"/>
    <w:rsid w:val="4678EEB5"/>
    <w:rsid w:val="46BFBC7F"/>
    <w:rsid w:val="47049A05"/>
    <w:rsid w:val="4722072C"/>
    <w:rsid w:val="47706E33"/>
    <w:rsid w:val="47C6E360"/>
    <w:rsid w:val="47C86820"/>
    <w:rsid w:val="47CAEA84"/>
    <w:rsid w:val="47D492DF"/>
    <w:rsid w:val="480DB045"/>
    <w:rsid w:val="48756BFD"/>
    <w:rsid w:val="4890439C"/>
    <w:rsid w:val="4893279A"/>
    <w:rsid w:val="48A82215"/>
    <w:rsid w:val="49298018"/>
    <w:rsid w:val="494C0E51"/>
    <w:rsid w:val="499089E1"/>
    <w:rsid w:val="49A50969"/>
    <w:rsid w:val="49B09F27"/>
    <w:rsid w:val="49E46C95"/>
    <w:rsid w:val="4A2F13E1"/>
    <w:rsid w:val="4A339C15"/>
    <w:rsid w:val="4ADFD69E"/>
    <w:rsid w:val="4B61B403"/>
    <w:rsid w:val="4B760562"/>
    <w:rsid w:val="4BC33710"/>
    <w:rsid w:val="4C165292"/>
    <w:rsid w:val="4C3037EA"/>
    <w:rsid w:val="4CC003AD"/>
    <w:rsid w:val="4CD5283E"/>
    <w:rsid w:val="4CDBF95C"/>
    <w:rsid w:val="4CE10CFC"/>
    <w:rsid w:val="4CFD8464"/>
    <w:rsid w:val="4D1B0A28"/>
    <w:rsid w:val="4D1F6A0C"/>
    <w:rsid w:val="4D7AED9D"/>
    <w:rsid w:val="4D808597"/>
    <w:rsid w:val="4DAA304D"/>
    <w:rsid w:val="4DAC8E57"/>
    <w:rsid w:val="4DD00E66"/>
    <w:rsid w:val="4DF59C17"/>
    <w:rsid w:val="4E2C3AFF"/>
    <w:rsid w:val="4E3BA455"/>
    <w:rsid w:val="4E405326"/>
    <w:rsid w:val="4E538861"/>
    <w:rsid w:val="4E6D0176"/>
    <w:rsid w:val="4E708369"/>
    <w:rsid w:val="4E9954C5"/>
    <w:rsid w:val="4EB29119"/>
    <w:rsid w:val="4F0212CA"/>
    <w:rsid w:val="4F11F727"/>
    <w:rsid w:val="4F1B47C0"/>
    <w:rsid w:val="4F2F365B"/>
    <w:rsid w:val="4F6B6F19"/>
    <w:rsid w:val="4F8D19D2"/>
    <w:rsid w:val="4F95570B"/>
    <w:rsid w:val="4F9833AB"/>
    <w:rsid w:val="4FB75A2A"/>
    <w:rsid w:val="4FDB0245"/>
    <w:rsid w:val="4FE376DC"/>
    <w:rsid w:val="50043016"/>
    <w:rsid w:val="50675585"/>
    <w:rsid w:val="506F2463"/>
    <w:rsid w:val="5081B31B"/>
    <w:rsid w:val="50D73151"/>
    <w:rsid w:val="50E42F19"/>
    <w:rsid w:val="511FABC1"/>
    <w:rsid w:val="514A9F97"/>
    <w:rsid w:val="515851D4"/>
    <w:rsid w:val="518AA160"/>
    <w:rsid w:val="51A26C2C"/>
    <w:rsid w:val="51A288AF"/>
    <w:rsid w:val="5212A5B5"/>
    <w:rsid w:val="527301B2"/>
    <w:rsid w:val="52909F43"/>
    <w:rsid w:val="52A68674"/>
    <w:rsid w:val="52D4A267"/>
    <w:rsid w:val="52D69E3A"/>
    <w:rsid w:val="52E3341F"/>
    <w:rsid w:val="5301C69F"/>
    <w:rsid w:val="53B31057"/>
    <w:rsid w:val="53DCFDB1"/>
    <w:rsid w:val="540D4763"/>
    <w:rsid w:val="540F819F"/>
    <w:rsid w:val="54182DF0"/>
    <w:rsid w:val="542383C0"/>
    <w:rsid w:val="54239083"/>
    <w:rsid w:val="545CF398"/>
    <w:rsid w:val="54726E9B"/>
    <w:rsid w:val="54C8B4A9"/>
    <w:rsid w:val="54FDAC02"/>
    <w:rsid w:val="551F2E51"/>
    <w:rsid w:val="5523C564"/>
    <w:rsid w:val="553148CB"/>
    <w:rsid w:val="55584DAD"/>
    <w:rsid w:val="559C19D5"/>
    <w:rsid w:val="55CE9B3E"/>
    <w:rsid w:val="56399325"/>
    <w:rsid w:val="5640213B"/>
    <w:rsid w:val="5678624A"/>
    <w:rsid w:val="56952411"/>
    <w:rsid w:val="56BAFEB2"/>
    <w:rsid w:val="56D29E3A"/>
    <w:rsid w:val="56FA1469"/>
    <w:rsid w:val="56FBB057"/>
    <w:rsid w:val="5780F97E"/>
    <w:rsid w:val="5782992E"/>
    <w:rsid w:val="5788DF8E"/>
    <w:rsid w:val="57D220C2"/>
    <w:rsid w:val="57E62A1C"/>
    <w:rsid w:val="582A1777"/>
    <w:rsid w:val="585EA3B4"/>
    <w:rsid w:val="585FD8D1"/>
    <w:rsid w:val="58638624"/>
    <w:rsid w:val="586730CC"/>
    <w:rsid w:val="58785DE8"/>
    <w:rsid w:val="58B60A91"/>
    <w:rsid w:val="58F10E62"/>
    <w:rsid w:val="58F735A7"/>
    <w:rsid w:val="59280914"/>
    <w:rsid w:val="5962B946"/>
    <w:rsid w:val="596958B1"/>
    <w:rsid w:val="596CE979"/>
    <w:rsid w:val="59B4F046"/>
    <w:rsid w:val="59FCBA06"/>
    <w:rsid w:val="5A361816"/>
    <w:rsid w:val="5A76C8C0"/>
    <w:rsid w:val="5A93B59F"/>
    <w:rsid w:val="5AC44442"/>
    <w:rsid w:val="5AEFC600"/>
    <w:rsid w:val="5B249F20"/>
    <w:rsid w:val="5B24C4C6"/>
    <w:rsid w:val="5BD52921"/>
    <w:rsid w:val="5BE5F5AE"/>
    <w:rsid w:val="5BE9B3B5"/>
    <w:rsid w:val="5BEB19CD"/>
    <w:rsid w:val="5BFAB665"/>
    <w:rsid w:val="5C5E5B83"/>
    <w:rsid w:val="5C645823"/>
    <w:rsid w:val="5C734DFF"/>
    <w:rsid w:val="5C748BBB"/>
    <w:rsid w:val="5CAB3E77"/>
    <w:rsid w:val="5CB11FEA"/>
    <w:rsid w:val="5CDCA580"/>
    <w:rsid w:val="5CF2F62D"/>
    <w:rsid w:val="5D157674"/>
    <w:rsid w:val="5D24EB8D"/>
    <w:rsid w:val="5D28B761"/>
    <w:rsid w:val="5D2E727B"/>
    <w:rsid w:val="5D35D9EF"/>
    <w:rsid w:val="5DB648C9"/>
    <w:rsid w:val="5DEB847D"/>
    <w:rsid w:val="5DEEFB9D"/>
    <w:rsid w:val="5DF98735"/>
    <w:rsid w:val="5E3C2D51"/>
    <w:rsid w:val="5E5D0868"/>
    <w:rsid w:val="5EC0D83D"/>
    <w:rsid w:val="5EC988B4"/>
    <w:rsid w:val="5ECDC730"/>
    <w:rsid w:val="5F7C245C"/>
    <w:rsid w:val="5F7FBEF8"/>
    <w:rsid w:val="5FA15D30"/>
    <w:rsid w:val="5FB46907"/>
    <w:rsid w:val="6016AB01"/>
    <w:rsid w:val="602A80C5"/>
    <w:rsid w:val="60371D7D"/>
    <w:rsid w:val="6063506A"/>
    <w:rsid w:val="6093946A"/>
    <w:rsid w:val="6097B524"/>
    <w:rsid w:val="60DCA16D"/>
    <w:rsid w:val="60FFCAAB"/>
    <w:rsid w:val="610ED44C"/>
    <w:rsid w:val="611D39A9"/>
    <w:rsid w:val="61232B3A"/>
    <w:rsid w:val="613BA898"/>
    <w:rsid w:val="61824788"/>
    <w:rsid w:val="61CE0E61"/>
    <w:rsid w:val="626F5F64"/>
    <w:rsid w:val="627D6E2B"/>
    <w:rsid w:val="62859F27"/>
    <w:rsid w:val="6298E28B"/>
    <w:rsid w:val="62C757B1"/>
    <w:rsid w:val="633E6B61"/>
    <w:rsid w:val="6351E230"/>
    <w:rsid w:val="639952D3"/>
    <w:rsid w:val="63A6E2EB"/>
    <w:rsid w:val="63B60048"/>
    <w:rsid w:val="63DF98F9"/>
    <w:rsid w:val="63FABC0A"/>
    <w:rsid w:val="640482A9"/>
    <w:rsid w:val="6414422F"/>
    <w:rsid w:val="641BECEB"/>
    <w:rsid w:val="64216F88"/>
    <w:rsid w:val="643A326A"/>
    <w:rsid w:val="645EBDD0"/>
    <w:rsid w:val="646CEEA5"/>
    <w:rsid w:val="647807D8"/>
    <w:rsid w:val="6487C85C"/>
    <w:rsid w:val="64BDB193"/>
    <w:rsid w:val="64C6E721"/>
    <w:rsid w:val="6507E5CE"/>
    <w:rsid w:val="653FAF9B"/>
    <w:rsid w:val="656632C7"/>
    <w:rsid w:val="657744BB"/>
    <w:rsid w:val="657EE60F"/>
    <w:rsid w:val="6591750B"/>
    <w:rsid w:val="6597A988"/>
    <w:rsid w:val="65C3FAE8"/>
    <w:rsid w:val="65C7CE18"/>
    <w:rsid w:val="65DCB28A"/>
    <w:rsid w:val="65E97F54"/>
    <w:rsid w:val="66406783"/>
    <w:rsid w:val="667AE2C5"/>
    <w:rsid w:val="66A94F9D"/>
    <w:rsid w:val="66B0F1A7"/>
    <w:rsid w:val="67626D88"/>
    <w:rsid w:val="67FE87E3"/>
    <w:rsid w:val="687470C7"/>
    <w:rsid w:val="689ACDBD"/>
    <w:rsid w:val="68CD12E4"/>
    <w:rsid w:val="68E9242F"/>
    <w:rsid w:val="69157FD9"/>
    <w:rsid w:val="6920800D"/>
    <w:rsid w:val="6935EC53"/>
    <w:rsid w:val="694A31BF"/>
    <w:rsid w:val="6959F274"/>
    <w:rsid w:val="69961BEE"/>
    <w:rsid w:val="69C9C087"/>
    <w:rsid w:val="69CA89EA"/>
    <w:rsid w:val="69D11B0A"/>
    <w:rsid w:val="69D9E19E"/>
    <w:rsid w:val="69DB92EB"/>
    <w:rsid w:val="69DDA154"/>
    <w:rsid w:val="6A0C8A47"/>
    <w:rsid w:val="6A19FE15"/>
    <w:rsid w:val="6A2B64E6"/>
    <w:rsid w:val="6ACCC5CC"/>
    <w:rsid w:val="6AD6AB90"/>
    <w:rsid w:val="6AE60220"/>
    <w:rsid w:val="6B0BDC65"/>
    <w:rsid w:val="6B2CFD7A"/>
    <w:rsid w:val="6B2F3443"/>
    <w:rsid w:val="6B3EBB09"/>
    <w:rsid w:val="6B616002"/>
    <w:rsid w:val="6B9120B2"/>
    <w:rsid w:val="6BA8107D"/>
    <w:rsid w:val="6BB44526"/>
    <w:rsid w:val="6BCA670D"/>
    <w:rsid w:val="6BD5FBCE"/>
    <w:rsid w:val="6C1552D4"/>
    <w:rsid w:val="6C826973"/>
    <w:rsid w:val="6C838CD0"/>
    <w:rsid w:val="6CB107DE"/>
    <w:rsid w:val="6CBCE9FD"/>
    <w:rsid w:val="6CDC05AC"/>
    <w:rsid w:val="6D2A7FD2"/>
    <w:rsid w:val="6D66376E"/>
    <w:rsid w:val="6DCCF773"/>
    <w:rsid w:val="6DD13CC2"/>
    <w:rsid w:val="6E3725EC"/>
    <w:rsid w:val="6E57ACD0"/>
    <w:rsid w:val="6E58BA5E"/>
    <w:rsid w:val="6E5D1CB1"/>
    <w:rsid w:val="6E61663E"/>
    <w:rsid w:val="6E791CE7"/>
    <w:rsid w:val="6E8D4A5C"/>
    <w:rsid w:val="6F0207CF"/>
    <w:rsid w:val="6F11AB18"/>
    <w:rsid w:val="6FA04AE6"/>
    <w:rsid w:val="6FEB033F"/>
    <w:rsid w:val="6FF48ABF"/>
    <w:rsid w:val="701B834E"/>
    <w:rsid w:val="707096CA"/>
    <w:rsid w:val="707110FD"/>
    <w:rsid w:val="70A5DFA2"/>
    <w:rsid w:val="71309EAF"/>
    <w:rsid w:val="71635491"/>
    <w:rsid w:val="718F4D92"/>
    <w:rsid w:val="7196A968"/>
    <w:rsid w:val="71ADE338"/>
    <w:rsid w:val="71DF5B60"/>
    <w:rsid w:val="71EB3CB7"/>
    <w:rsid w:val="72064D1A"/>
    <w:rsid w:val="7223997B"/>
    <w:rsid w:val="723FE162"/>
    <w:rsid w:val="724D7B1A"/>
    <w:rsid w:val="7253B00B"/>
    <w:rsid w:val="72849F04"/>
    <w:rsid w:val="72A24E4A"/>
    <w:rsid w:val="72ADEA13"/>
    <w:rsid w:val="72D14D26"/>
    <w:rsid w:val="73060F41"/>
    <w:rsid w:val="731E1B32"/>
    <w:rsid w:val="732CCD35"/>
    <w:rsid w:val="7333CD87"/>
    <w:rsid w:val="733EFFCB"/>
    <w:rsid w:val="7345F592"/>
    <w:rsid w:val="7347462E"/>
    <w:rsid w:val="735413DB"/>
    <w:rsid w:val="73B46A85"/>
    <w:rsid w:val="73BE9199"/>
    <w:rsid w:val="73CCCAB3"/>
    <w:rsid w:val="73E873B6"/>
    <w:rsid w:val="73F38C96"/>
    <w:rsid w:val="74591A81"/>
    <w:rsid w:val="747F5434"/>
    <w:rsid w:val="74BBF88B"/>
    <w:rsid w:val="7523B6FD"/>
    <w:rsid w:val="7552268A"/>
    <w:rsid w:val="7560B2C4"/>
    <w:rsid w:val="75DADA84"/>
    <w:rsid w:val="75E42FAA"/>
    <w:rsid w:val="75FDD97B"/>
    <w:rsid w:val="76049FDB"/>
    <w:rsid w:val="7604BE54"/>
    <w:rsid w:val="76540A1C"/>
    <w:rsid w:val="769FF9C7"/>
    <w:rsid w:val="76A953D3"/>
    <w:rsid w:val="76C6AFF1"/>
    <w:rsid w:val="76F9914C"/>
    <w:rsid w:val="76FE226C"/>
    <w:rsid w:val="77B1AC10"/>
    <w:rsid w:val="77EF2027"/>
    <w:rsid w:val="77F3994D"/>
    <w:rsid w:val="78401F35"/>
    <w:rsid w:val="78807FAC"/>
    <w:rsid w:val="789561AD"/>
    <w:rsid w:val="789AD1A4"/>
    <w:rsid w:val="789FD571"/>
    <w:rsid w:val="78AC9C5E"/>
    <w:rsid w:val="78B22CBF"/>
    <w:rsid w:val="78B3B168"/>
    <w:rsid w:val="78FB0201"/>
    <w:rsid w:val="792A100C"/>
    <w:rsid w:val="79520E89"/>
    <w:rsid w:val="798F69AE"/>
    <w:rsid w:val="7990E19A"/>
    <w:rsid w:val="799C0EB9"/>
    <w:rsid w:val="79A0F5DB"/>
    <w:rsid w:val="79FE50B3"/>
    <w:rsid w:val="7A0020CA"/>
    <w:rsid w:val="7A1046AD"/>
    <w:rsid w:val="7A22CDEB"/>
    <w:rsid w:val="7A79F2C1"/>
    <w:rsid w:val="7AA19503"/>
    <w:rsid w:val="7AC8FCA7"/>
    <w:rsid w:val="7ACB76D1"/>
    <w:rsid w:val="7AD592A1"/>
    <w:rsid w:val="7AE3A57D"/>
    <w:rsid w:val="7AE73939"/>
    <w:rsid w:val="7AEC2424"/>
    <w:rsid w:val="7AF61213"/>
    <w:rsid w:val="7B11AF08"/>
    <w:rsid w:val="7BB47FC8"/>
    <w:rsid w:val="7BBCF170"/>
    <w:rsid w:val="7BE65367"/>
    <w:rsid w:val="7C342754"/>
    <w:rsid w:val="7C3D6564"/>
    <w:rsid w:val="7C483BB4"/>
    <w:rsid w:val="7C91E274"/>
    <w:rsid w:val="7C95DACB"/>
    <w:rsid w:val="7CD3AF7B"/>
    <w:rsid w:val="7CE2414E"/>
    <w:rsid w:val="7D083599"/>
    <w:rsid w:val="7D0F8B4B"/>
    <w:rsid w:val="7D103E6E"/>
    <w:rsid w:val="7D32416C"/>
    <w:rsid w:val="7D397074"/>
    <w:rsid w:val="7D5156A2"/>
    <w:rsid w:val="7D7E4D9A"/>
    <w:rsid w:val="7D8A32E7"/>
    <w:rsid w:val="7DA0DD7C"/>
    <w:rsid w:val="7DC967B1"/>
    <w:rsid w:val="7DC9763F"/>
    <w:rsid w:val="7E7ABFD1"/>
    <w:rsid w:val="7EA405FA"/>
    <w:rsid w:val="7ECB4EF6"/>
    <w:rsid w:val="7ECB7F35"/>
    <w:rsid w:val="7EFBE4EC"/>
    <w:rsid w:val="7F00FBAB"/>
    <w:rsid w:val="7F0F16F5"/>
    <w:rsid w:val="7F1A1DFB"/>
    <w:rsid w:val="7F4B983A"/>
    <w:rsid w:val="7F62C3C7"/>
    <w:rsid w:val="7F742439"/>
    <w:rsid w:val="7FC3A8D5"/>
    <w:rsid w:val="7FD82AEE"/>
    <w:rsid w:val="7FDE0F5D"/>
    <w:rsid w:val="7FECCBC3"/>
    <w:rsid w:val="7FECD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F2463"/>
  <w15:chartTrackingRefBased/>
  <w15:docId w15:val="{002A566E-B913-44DD-81E0-1423F32BD00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c82e4d936744921" /><Relationship Type="http://schemas.openxmlformats.org/officeDocument/2006/relationships/image" Target="/media/image2.png" Id="R69021110d7bf4df0" /><Relationship Type="http://schemas.openxmlformats.org/officeDocument/2006/relationships/image" Target="/media/image3.png" Id="Rdbfd1db269c54a56" /><Relationship Type="http://schemas.openxmlformats.org/officeDocument/2006/relationships/image" Target="/media/image4.png" Id="R562bc4e863124044" /><Relationship Type="http://schemas.openxmlformats.org/officeDocument/2006/relationships/image" Target="/media/image5.png" Id="R0f0d44ce08d345b8" /><Relationship Type="http://schemas.openxmlformats.org/officeDocument/2006/relationships/image" Target="/media/image6.png" Id="Rcff7bd6fba254380" /><Relationship Type="http://schemas.openxmlformats.org/officeDocument/2006/relationships/image" Target="/media/image7.png" Id="R83d9a53d8ee7400d" /><Relationship Type="http://schemas.openxmlformats.org/officeDocument/2006/relationships/image" Target="/media/image8.png" Id="R32cf9ea461744854" /><Relationship Type="http://schemas.openxmlformats.org/officeDocument/2006/relationships/image" Target="/media/image9.png" Id="R9d1c399a0174444b" /><Relationship Type="http://schemas.openxmlformats.org/officeDocument/2006/relationships/image" Target="/media/imagea.png" Id="R15359b4c94f6405a" /><Relationship Type="http://schemas.openxmlformats.org/officeDocument/2006/relationships/image" Target="/media/imageb.png" Id="Rea78cb20574d4c10" /><Relationship Type="http://schemas.openxmlformats.org/officeDocument/2006/relationships/image" Target="/media/imagec.png" Id="R96de3c24c2b74c9f" /><Relationship Type="http://schemas.openxmlformats.org/officeDocument/2006/relationships/image" Target="/media/imaged.png" Id="Rd5237e1083074fed" /><Relationship Type="http://schemas.openxmlformats.org/officeDocument/2006/relationships/image" Target="/media/imagee.png" Id="R24202b9dc01c49a4" /><Relationship Type="http://schemas.openxmlformats.org/officeDocument/2006/relationships/image" Target="/media/imagef.png" Id="R9ff62678cb1e4305" /><Relationship Type="http://schemas.openxmlformats.org/officeDocument/2006/relationships/image" Target="/media/image10.png" Id="R06908575daaf4b4c" /><Relationship Type="http://schemas.openxmlformats.org/officeDocument/2006/relationships/image" Target="/media/image11.png" Id="R39df6bb1b85d4c5e" /><Relationship Type="http://schemas.openxmlformats.org/officeDocument/2006/relationships/image" Target="/media/image12.png" Id="R415f47e1e99548c5" /><Relationship Type="http://schemas.openxmlformats.org/officeDocument/2006/relationships/image" Target="/media/image13.png" Id="Rafb4f94dccee41d7" /><Relationship Type="http://schemas.openxmlformats.org/officeDocument/2006/relationships/image" Target="/media/image14.png" Id="R4352fd0a52164974" /><Relationship Type="http://schemas.openxmlformats.org/officeDocument/2006/relationships/image" Target="/media/image15.png" Id="Rb3a2ebfc427d48fa" /><Relationship Type="http://schemas.openxmlformats.org/officeDocument/2006/relationships/image" Target="/media/image16.png" Id="Re1285c7196354090" /><Relationship Type="http://schemas.openxmlformats.org/officeDocument/2006/relationships/image" Target="/media/image17.png" Id="Rd1fb63f3cce74dfb" /><Relationship Type="http://schemas.openxmlformats.org/officeDocument/2006/relationships/image" Target="/media/image18.png" Id="R5d0b363760f04a2a" /><Relationship Type="http://schemas.openxmlformats.org/officeDocument/2006/relationships/image" Target="/media/image19.png" Id="R07db8035ac6148f2" /><Relationship Type="http://schemas.openxmlformats.org/officeDocument/2006/relationships/image" Target="/media/image1a.png" Id="Rbe5c6135047a429d" /><Relationship Type="http://schemas.openxmlformats.org/officeDocument/2006/relationships/image" Target="/media/image1b.png" Id="R4462074d80d5455f" /><Relationship Type="http://schemas.openxmlformats.org/officeDocument/2006/relationships/image" Target="/media/image1c.png" Id="R27611d2599054a7b" /><Relationship Type="http://schemas.microsoft.com/office/2020/10/relationships/intelligence" Target="intelligence2.xml" Id="R3c87dfd726a64905" /><Relationship Type="http://schemas.openxmlformats.org/officeDocument/2006/relationships/numbering" Target="numbering.xml" Id="R5923070586fc4df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2022-12-11T05:42:57.5328536Z</dcterms:created>
  <dcterms:modified xsi:type="dcterms:W3CDTF">2022-12-15T20:11:49.7416968Z</dcterms:modified>
  <dc:creator>Yiwen Ma</dc:creator>
  <lastModifiedBy>Yiwen Ma</lastModifiedBy>
</coreProperties>
</file>