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E36BCD" w14:textId="609A4D38" w:rsidR="00EC2C59" w:rsidRDefault="006B12C1" w:rsidP="006B12C1">
      <w:pPr>
        <w:rPr>
          <w:color w:val="222A35" w:themeColor="text2" w:themeShade="80"/>
          <w:sz w:val="56"/>
          <w:szCs w:val="56"/>
          <w:u w:val="single"/>
        </w:rPr>
      </w:pPr>
      <w:r>
        <w:rPr>
          <w:sz w:val="56"/>
          <w:szCs w:val="56"/>
        </w:rPr>
        <w:t xml:space="preserve">   </w:t>
      </w:r>
      <w:r w:rsidRPr="006B12C1">
        <w:rPr>
          <w:color w:val="222A35" w:themeColor="text2" w:themeShade="80"/>
          <w:sz w:val="56"/>
          <w:szCs w:val="56"/>
          <w:u w:val="single"/>
        </w:rPr>
        <w:t>Bank Stability Analysis Project Report</w:t>
      </w:r>
    </w:p>
    <w:p w14:paraId="4688AA3C" w14:textId="175772AD" w:rsidR="006B12C1" w:rsidRPr="008F2CA3" w:rsidRDefault="006B12C1" w:rsidP="00C45F16">
      <w:pPr>
        <w:jc w:val="both"/>
        <w:rPr>
          <w:color w:val="1F4E79" w:themeColor="accent5" w:themeShade="80"/>
          <w:sz w:val="36"/>
          <w:szCs w:val="36"/>
          <w:u w:val="single"/>
        </w:rPr>
      </w:pPr>
      <w:r w:rsidRPr="008F2CA3">
        <w:rPr>
          <w:color w:val="1F4E79" w:themeColor="accent5" w:themeShade="80"/>
          <w:sz w:val="36"/>
          <w:szCs w:val="36"/>
          <w:u w:val="single"/>
        </w:rPr>
        <w:t xml:space="preserve">Instructions </w:t>
      </w:r>
    </w:p>
    <w:p w14:paraId="36138166" w14:textId="77777777" w:rsidR="006B12C1" w:rsidRPr="006B12C1" w:rsidRDefault="006B12C1" w:rsidP="00C45F16">
      <w:p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This section summarizes the predictive analysis conducted on the Bank Stability Dataset, focusing on the effectiveness of various machine learning models in predicting whether a bank is likely to go defunct or remain stable.</w:t>
      </w:r>
    </w:p>
    <w:p w14:paraId="4E250B73" w14:textId="77777777" w:rsidR="006B12C1" w:rsidRPr="006B12C1" w:rsidRDefault="006B12C1" w:rsidP="00C45F16">
      <w:pPr>
        <w:jc w:val="both"/>
        <w:rPr>
          <w:color w:val="1F4E79" w:themeColor="accent5" w:themeShade="80"/>
          <w:sz w:val="36"/>
          <w:szCs w:val="36"/>
          <w:u w:val="single"/>
        </w:rPr>
      </w:pPr>
      <w:r w:rsidRPr="006B12C1">
        <w:rPr>
          <w:color w:val="1F4E79" w:themeColor="accent5" w:themeShade="80"/>
          <w:sz w:val="36"/>
          <w:szCs w:val="36"/>
          <w:u w:val="single"/>
        </w:rPr>
        <w:t>Dataset Overview</w:t>
      </w:r>
    </w:p>
    <w:p w14:paraId="7E3521E0" w14:textId="77777777" w:rsidR="006B12C1" w:rsidRPr="006B12C1" w:rsidRDefault="006B12C1" w:rsidP="00C45F16">
      <w:pPr>
        <w:numPr>
          <w:ilvl w:val="0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b/>
          <w:bCs/>
          <w:color w:val="222A35" w:themeColor="text2" w:themeShade="80"/>
          <w:sz w:val="24"/>
          <w:szCs w:val="24"/>
        </w:rPr>
        <w:t>Total Entries:</w:t>
      </w:r>
      <w:r w:rsidRPr="006B12C1">
        <w:rPr>
          <w:color w:val="222A35" w:themeColor="text2" w:themeShade="80"/>
          <w:sz w:val="24"/>
          <w:szCs w:val="24"/>
        </w:rPr>
        <w:t> 5,000</w:t>
      </w:r>
    </w:p>
    <w:p w14:paraId="57618C2E" w14:textId="77777777" w:rsidR="006B12C1" w:rsidRPr="006B12C1" w:rsidRDefault="006B12C1" w:rsidP="00C45F16">
      <w:pPr>
        <w:numPr>
          <w:ilvl w:val="0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b/>
          <w:bCs/>
          <w:color w:val="222A35" w:themeColor="text2" w:themeShade="80"/>
          <w:sz w:val="24"/>
          <w:szCs w:val="24"/>
        </w:rPr>
        <w:t>Key Features:</w:t>
      </w:r>
    </w:p>
    <w:p w14:paraId="544B99A6" w14:textId="77777777" w:rsidR="006B12C1" w:rsidRPr="006B12C1" w:rsidRDefault="006B12C1" w:rsidP="00C45F16">
      <w:pPr>
        <w:numPr>
          <w:ilvl w:val="1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Capital Adequacy Ratio</w:t>
      </w:r>
    </w:p>
    <w:p w14:paraId="73526672" w14:textId="77777777" w:rsidR="006B12C1" w:rsidRPr="006B12C1" w:rsidRDefault="006B12C1" w:rsidP="00C45F16">
      <w:pPr>
        <w:numPr>
          <w:ilvl w:val="1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Non-Performing Loans Ratio</w:t>
      </w:r>
    </w:p>
    <w:p w14:paraId="3B3107E5" w14:textId="77777777" w:rsidR="006B12C1" w:rsidRPr="006B12C1" w:rsidRDefault="006B12C1" w:rsidP="00C45F16">
      <w:pPr>
        <w:numPr>
          <w:ilvl w:val="1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Liquidity Coverage Ratio</w:t>
      </w:r>
    </w:p>
    <w:p w14:paraId="6308A5FE" w14:textId="77777777" w:rsidR="006B12C1" w:rsidRPr="006B12C1" w:rsidRDefault="006B12C1" w:rsidP="00C45F16">
      <w:pPr>
        <w:numPr>
          <w:ilvl w:val="1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Return on Assets</w:t>
      </w:r>
    </w:p>
    <w:p w14:paraId="5DD4FE41" w14:textId="77777777" w:rsidR="006B12C1" w:rsidRPr="006B12C1" w:rsidRDefault="006B12C1" w:rsidP="00C45F16">
      <w:pPr>
        <w:numPr>
          <w:ilvl w:val="1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Loan to Deposit Ratio</w:t>
      </w:r>
    </w:p>
    <w:p w14:paraId="4F2ADC8D" w14:textId="77777777" w:rsidR="006B12C1" w:rsidRPr="006B12C1" w:rsidRDefault="006B12C1" w:rsidP="00C45F16">
      <w:pPr>
        <w:numPr>
          <w:ilvl w:val="1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Net Interest Margin</w:t>
      </w:r>
    </w:p>
    <w:p w14:paraId="3A5BFE5D" w14:textId="77777777" w:rsidR="006B12C1" w:rsidRPr="006B12C1" w:rsidRDefault="006B12C1" w:rsidP="00C45F16">
      <w:pPr>
        <w:numPr>
          <w:ilvl w:val="1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color w:val="222A35" w:themeColor="text2" w:themeShade="80"/>
          <w:sz w:val="24"/>
          <w:szCs w:val="24"/>
        </w:rPr>
        <w:t>Operational Efficiency Ratio</w:t>
      </w:r>
    </w:p>
    <w:p w14:paraId="6E076A7C" w14:textId="77777777" w:rsidR="001919D7" w:rsidRDefault="006B12C1" w:rsidP="00C45F16">
      <w:pPr>
        <w:numPr>
          <w:ilvl w:val="0"/>
          <w:numId w:val="3"/>
        </w:numPr>
        <w:jc w:val="both"/>
        <w:rPr>
          <w:color w:val="222A35" w:themeColor="text2" w:themeShade="80"/>
          <w:sz w:val="24"/>
          <w:szCs w:val="24"/>
        </w:rPr>
      </w:pPr>
      <w:r w:rsidRPr="006B12C1">
        <w:rPr>
          <w:b/>
          <w:bCs/>
          <w:color w:val="222A35" w:themeColor="text2" w:themeShade="80"/>
          <w:sz w:val="24"/>
          <w:szCs w:val="24"/>
        </w:rPr>
        <w:t>Target Variable:</w:t>
      </w:r>
      <w:r w:rsidRPr="006B12C1">
        <w:rPr>
          <w:color w:val="222A35" w:themeColor="text2" w:themeShade="80"/>
          <w:sz w:val="24"/>
          <w:szCs w:val="24"/>
        </w:rPr>
        <w:t> Went Defunct (Yes/No)</w:t>
      </w:r>
    </w:p>
    <w:p w14:paraId="739F7D37" w14:textId="2D8CFB14" w:rsidR="001919D7" w:rsidRPr="001919D7" w:rsidRDefault="001919D7" w:rsidP="00C45F16">
      <w:pPr>
        <w:jc w:val="both"/>
        <w:rPr>
          <w:color w:val="1F4E79" w:themeColor="accent5" w:themeShade="80"/>
          <w:sz w:val="24"/>
          <w:szCs w:val="24"/>
        </w:rPr>
      </w:pPr>
      <w:r w:rsidRPr="001919D7">
        <w:rPr>
          <w:color w:val="1F4E79" w:themeColor="accent5" w:themeShade="80"/>
          <w:sz w:val="36"/>
          <w:szCs w:val="36"/>
          <w:u w:val="single"/>
        </w:rPr>
        <w:t>Data Cleaning</w:t>
      </w:r>
    </w:p>
    <w:p w14:paraId="4893A3D0" w14:textId="77777777" w:rsidR="001919D7" w:rsidRPr="001919D7" w:rsidRDefault="001919D7" w:rsidP="00C45F16">
      <w:pPr>
        <w:numPr>
          <w:ilvl w:val="0"/>
          <w:numId w:val="4"/>
        </w:numPr>
        <w:jc w:val="both"/>
        <w:rPr>
          <w:color w:val="222A35" w:themeColor="text2" w:themeShade="80"/>
          <w:sz w:val="24"/>
          <w:szCs w:val="24"/>
        </w:rPr>
      </w:pPr>
      <w:r w:rsidRPr="001919D7">
        <w:rPr>
          <w:b/>
          <w:bCs/>
          <w:color w:val="222A35" w:themeColor="text2" w:themeShade="80"/>
          <w:sz w:val="24"/>
          <w:szCs w:val="24"/>
        </w:rPr>
        <w:t>Handling Missing Values:</w:t>
      </w:r>
    </w:p>
    <w:p w14:paraId="63002DB7" w14:textId="77777777" w:rsidR="001919D7" w:rsidRPr="001919D7" w:rsidRDefault="001919D7" w:rsidP="00C45F16">
      <w:pPr>
        <w:numPr>
          <w:ilvl w:val="1"/>
          <w:numId w:val="4"/>
        </w:numPr>
        <w:jc w:val="both"/>
        <w:rPr>
          <w:color w:val="222A35" w:themeColor="text2" w:themeShade="80"/>
          <w:sz w:val="24"/>
          <w:szCs w:val="24"/>
        </w:rPr>
      </w:pPr>
      <w:r w:rsidRPr="001919D7">
        <w:rPr>
          <w:color w:val="222A35" w:themeColor="text2" w:themeShade="80"/>
          <w:sz w:val="24"/>
          <w:szCs w:val="24"/>
        </w:rPr>
        <w:t>Fill missing values in numerical columns with median values.</w:t>
      </w:r>
    </w:p>
    <w:p w14:paraId="18E6A671" w14:textId="77777777" w:rsidR="001919D7" w:rsidRPr="001919D7" w:rsidRDefault="001919D7" w:rsidP="00C45F16">
      <w:pPr>
        <w:numPr>
          <w:ilvl w:val="0"/>
          <w:numId w:val="4"/>
        </w:numPr>
        <w:jc w:val="both"/>
        <w:rPr>
          <w:color w:val="222A35" w:themeColor="text2" w:themeShade="80"/>
          <w:sz w:val="24"/>
          <w:szCs w:val="24"/>
        </w:rPr>
      </w:pPr>
      <w:r w:rsidRPr="001919D7">
        <w:rPr>
          <w:b/>
          <w:bCs/>
          <w:color w:val="222A35" w:themeColor="text2" w:themeShade="80"/>
          <w:sz w:val="24"/>
          <w:szCs w:val="24"/>
        </w:rPr>
        <w:t>Removing Duplicates:</w:t>
      </w:r>
    </w:p>
    <w:p w14:paraId="638BF22C" w14:textId="77777777" w:rsidR="001919D7" w:rsidRPr="001919D7" w:rsidRDefault="001919D7" w:rsidP="00C45F16">
      <w:pPr>
        <w:numPr>
          <w:ilvl w:val="1"/>
          <w:numId w:val="4"/>
        </w:numPr>
        <w:jc w:val="both"/>
        <w:rPr>
          <w:color w:val="222A35" w:themeColor="text2" w:themeShade="80"/>
          <w:sz w:val="24"/>
          <w:szCs w:val="24"/>
        </w:rPr>
      </w:pPr>
      <w:r w:rsidRPr="001919D7">
        <w:rPr>
          <w:color w:val="222A35" w:themeColor="text2" w:themeShade="80"/>
          <w:sz w:val="24"/>
          <w:szCs w:val="24"/>
        </w:rPr>
        <w:t>Eliminate any duplicate rows identified in the dataset.</w:t>
      </w:r>
    </w:p>
    <w:p w14:paraId="0AD679E0" w14:textId="77777777" w:rsidR="001919D7" w:rsidRPr="001919D7" w:rsidRDefault="001919D7" w:rsidP="00C45F16">
      <w:pPr>
        <w:numPr>
          <w:ilvl w:val="0"/>
          <w:numId w:val="4"/>
        </w:numPr>
        <w:jc w:val="both"/>
        <w:rPr>
          <w:color w:val="222A35" w:themeColor="text2" w:themeShade="80"/>
          <w:sz w:val="24"/>
          <w:szCs w:val="24"/>
        </w:rPr>
      </w:pPr>
      <w:r w:rsidRPr="001919D7">
        <w:rPr>
          <w:b/>
          <w:bCs/>
          <w:color w:val="222A35" w:themeColor="text2" w:themeShade="80"/>
          <w:sz w:val="24"/>
          <w:szCs w:val="24"/>
        </w:rPr>
        <w:t>Outlier Detection:</w:t>
      </w:r>
    </w:p>
    <w:p w14:paraId="610E2B76" w14:textId="77777777" w:rsidR="001919D7" w:rsidRDefault="001919D7" w:rsidP="00C45F16">
      <w:pPr>
        <w:numPr>
          <w:ilvl w:val="1"/>
          <w:numId w:val="4"/>
        </w:numPr>
        <w:jc w:val="both"/>
        <w:rPr>
          <w:color w:val="222A35" w:themeColor="text2" w:themeShade="80"/>
          <w:sz w:val="24"/>
          <w:szCs w:val="24"/>
        </w:rPr>
      </w:pPr>
      <w:r w:rsidRPr="001919D7">
        <w:rPr>
          <w:color w:val="222A35" w:themeColor="text2" w:themeShade="80"/>
          <w:sz w:val="24"/>
          <w:szCs w:val="24"/>
        </w:rPr>
        <w:t>Use the Z-Score method to detect outliers and remove them from the dataset.</w:t>
      </w:r>
    </w:p>
    <w:p w14:paraId="7CD31341" w14:textId="62A36EFB" w:rsidR="008F2CA3" w:rsidRPr="001919D7" w:rsidRDefault="008F2CA3" w:rsidP="00C45F16">
      <w:pPr>
        <w:jc w:val="both"/>
        <w:rPr>
          <w:color w:val="1F4E79" w:themeColor="accent5" w:themeShade="80"/>
          <w:sz w:val="36"/>
          <w:szCs w:val="36"/>
          <w:u w:val="single"/>
        </w:rPr>
      </w:pPr>
      <w:r w:rsidRPr="008F2CA3">
        <w:rPr>
          <w:color w:val="1F4E79" w:themeColor="accent5" w:themeShade="80"/>
          <w:sz w:val="36"/>
          <w:szCs w:val="36"/>
          <w:u w:val="single"/>
        </w:rPr>
        <w:t>Key Insights</w:t>
      </w:r>
    </w:p>
    <w:p w14:paraId="03C94187" w14:textId="3AA06903" w:rsidR="008F2CA3" w:rsidRPr="000E048F" w:rsidRDefault="008F2CA3" w:rsidP="00C45F16">
      <w:pPr>
        <w:pStyle w:val="ListParagraph"/>
        <w:numPr>
          <w:ilvl w:val="0"/>
          <w:numId w:val="8"/>
        </w:numPr>
        <w:jc w:val="both"/>
        <w:rPr>
          <w:b/>
          <w:bCs/>
          <w:color w:val="1F4E79" w:themeColor="accent5" w:themeShade="80"/>
          <w:sz w:val="24"/>
          <w:szCs w:val="24"/>
        </w:rPr>
      </w:pPr>
      <w:r w:rsidRPr="000E048F">
        <w:rPr>
          <w:b/>
          <w:bCs/>
          <w:color w:val="1F4E79" w:themeColor="accent5" w:themeShade="80"/>
          <w:sz w:val="24"/>
          <w:szCs w:val="24"/>
        </w:rPr>
        <w:t>Financial Metrics Analysis</w:t>
      </w:r>
    </w:p>
    <w:p w14:paraId="2778AAC1" w14:textId="77777777" w:rsidR="008F2CA3" w:rsidRPr="008F2CA3" w:rsidRDefault="008F2CA3" w:rsidP="00C45F16">
      <w:pPr>
        <w:numPr>
          <w:ilvl w:val="0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Key Financial Metrics:</w:t>
      </w:r>
    </w:p>
    <w:p w14:paraId="5B3B700D" w14:textId="77777777" w:rsidR="008F2CA3" w:rsidRPr="008F2CA3" w:rsidRDefault="008F2CA3" w:rsidP="00C45F16">
      <w:pPr>
        <w:numPr>
          <w:ilvl w:val="1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Capital Adequacy Ratio (CAR):</w:t>
      </w:r>
    </w:p>
    <w:p w14:paraId="12467692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Mean:</w:t>
      </w:r>
      <w:r w:rsidRPr="008F2CA3">
        <w:rPr>
          <w:color w:val="222A35" w:themeColor="text2" w:themeShade="80"/>
          <w:sz w:val="24"/>
          <w:szCs w:val="24"/>
        </w:rPr>
        <w:t> 10.78%</w:t>
      </w:r>
    </w:p>
    <w:p w14:paraId="343F7C55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lastRenderedPageBreak/>
        <w:t>Observation:</w:t>
      </w:r>
      <w:r w:rsidRPr="008F2CA3">
        <w:rPr>
          <w:color w:val="222A35" w:themeColor="text2" w:themeShade="80"/>
          <w:sz w:val="24"/>
          <w:szCs w:val="24"/>
        </w:rPr>
        <w:t> Defunct banks typically have CAR values below 10%, indicating insufficient capital to absorb losses.</w:t>
      </w:r>
    </w:p>
    <w:p w14:paraId="029192B0" w14:textId="77777777" w:rsidR="008F2CA3" w:rsidRPr="008F2CA3" w:rsidRDefault="008F2CA3" w:rsidP="00C45F16">
      <w:pPr>
        <w:numPr>
          <w:ilvl w:val="1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Non-Performing Loans (NPL) Ratio:</w:t>
      </w:r>
    </w:p>
    <w:p w14:paraId="25B51A31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Mean:</w:t>
      </w:r>
      <w:r w:rsidRPr="008F2CA3">
        <w:rPr>
          <w:color w:val="222A35" w:themeColor="text2" w:themeShade="80"/>
          <w:sz w:val="24"/>
          <w:szCs w:val="24"/>
        </w:rPr>
        <w:t> 2.6%</w:t>
      </w:r>
    </w:p>
    <w:p w14:paraId="2FBAA2BF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Observation:</w:t>
      </w:r>
      <w:r w:rsidRPr="008F2CA3">
        <w:rPr>
          <w:color w:val="222A35" w:themeColor="text2" w:themeShade="80"/>
          <w:sz w:val="24"/>
          <w:szCs w:val="24"/>
        </w:rPr>
        <w:t> Defunct banks often exceed an NPL ratio of 15%, highlighting poor asset quality.</w:t>
      </w:r>
    </w:p>
    <w:p w14:paraId="260234CF" w14:textId="77777777" w:rsidR="008F2CA3" w:rsidRPr="008F2CA3" w:rsidRDefault="008F2CA3" w:rsidP="00C45F16">
      <w:pPr>
        <w:numPr>
          <w:ilvl w:val="1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Liquidity Coverage Ratio:</w:t>
      </w:r>
    </w:p>
    <w:p w14:paraId="3DB09E40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Mean:</w:t>
      </w:r>
      <w:r w:rsidRPr="008F2CA3">
        <w:rPr>
          <w:color w:val="222A35" w:themeColor="text2" w:themeShade="80"/>
          <w:sz w:val="24"/>
          <w:szCs w:val="24"/>
        </w:rPr>
        <w:t> 75.72%</w:t>
      </w:r>
    </w:p>
    <w:p w14:paraId="3BB3C7CE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Observation:</w:t>
      </w:r>
      <w:r w:rsidRPr="008F2CA3">
        <w:rPr>
          <w:color w:val="222A35" w:themeColor="text2" w:themeShade="80"/>
          <w:sz w:val="24"/>
          <w:szCs w:val="24"/>
        </w:rPr>
        <w:t> Stable banks maintain liquidity ratios above 25%, while defunct banks frequently fall below 20%.</w:t>
      </w:r>
    </w:p>
    <w:p w14:paraId="7B04F968" w14:textId="77777777" w:rsidR="008F2CA3" w:rsidRPr="008F2CA3" w:rsidRDefault="008F2CA3" w:rsidP="00C45F16">
      <w:pPr>
        <w:numPr>
          <w:ilvl w:val="1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Return on Assets (ROA):</w:t>
      </w:r>
    </w:p>
    <w:p w14:paraId="08E1073E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Mean:</w:t>
      </w:r>
      <w:r w:rsidRPr="008F2CA3">
        <w:rPr>
          <w:color w:val="222A35" w:themeColor="text2" w:themeShade="80"/>
          <w:sz w:val="24"/>
          <w:szCs w:val="24"/>
        </w:rPr>
        <w:t> 2.6%</w:t>
      </w:r>
    </w:p>
    <w:p w14:paraId="3BDF7DC3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Observation:</w:t>
      </w:r>
      <w:r w:rsidRPr="008F2CA3">
        <w:rPr>
          <w:color w:val="222A35" w:themeColor="text2" w:themeShade="80"/>
          <w:sz w:val="24"/>
          <w:szCs w:val="24"/>
        </w:rPr>
        <w:t> Stable banks exhibit positive ROA values, while defunct banks may show negative values.</w:t>
      </w:r>
    </w:p>
    <w:p w14:paraId="07E86A13" w14:textId="77777777" w:rsidR="008F2CA3" w:rsidRPr="008F2CA3" w:rsidRDefault="008F2CA3" w:rsidP="00C45F16">
      <w:pPr>
        <w:numPr>
          <w:ilvl w:val="1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Loan-to-Deposit Ratio (LDR):</w:t>
      </w:r>
    </w:p>
    <w:p w14:paraId="7A3A1245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Mean:</w:t>
      </w:r>
      <w:r w:rsidRPr="008F2CA3">
        <w:rPr>
          <w:color w:val="222A35" w:themeColor="text2" w:themeShade="80"/>
          <w:sz w:val="24"/>
          <w:szCs w:val="24"/>
        </w:rPr>
        <w:t> 75.72%</w:t>
      </w:r>
    </w:p>
    <w:p w14:paraId="20DBEA30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Observation:</w:t>
      </w:r>
      <w:r w:rsidRPr="008F2CA3">
        <w:rPr>
          <w:color w:val="222A35" w:themeColor="text2" w:themeShade="80"/>
          <w:sz w:val="24"/>
          <w:szCs w:val="24"/>
        </w:rPr>
        <w:t> Stable banks typically maintain LDRs between 70% and 80%, while defunct banks often exceed 90%.</w:t>
      </w:r>
    </w:p>
    <w:p w14:paraId="2FB3F680" w14:textId="77777777" w:rsidR="008F2CA3" w:rsidRPr="008F2CA3" w:rsidRDefault="008F2CA3" w:rsidP="00C45F16">
      <w:pPr>
        <w:numPr>
          <w:ilvl w:val="1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Net Interest Margin (NIM):</w:t>
      </w:r>
    </w:p>
    <w:p w14:paraId="260455C8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Mean:</w:t>
      </w:r>
      <w:r w:rsidRPr="008F2CA3">
        <w:rPr>
          <w:color w:val="222A35" w:themeColor="text2" w:themeShade="80"/>
          <w:sz w:val="24"/>
          <w:szCs w:val="24"/>
        </w:rPr>
        <w:t> Not explicitly provided, but stable banks generally have a consistent and healthy NIM.</w:t>
      </w:r>
    </w:p>
    <w:p w14:paraId="0F5BA5DD" w14:textId="77777777" w:rsidR="008F2CA3" w:rsidRPr="008F2CA3" w:rsidRDefault="008F2CA3" w:rsidP="00C45F16">
      <w:pPr>
        <w:numPr>
          <w:ilvl w:val="1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Operational Efficiency Ratio:</w:t>
      </w:r>
    </w:p>
    <w:p w14:paraId="49F6B858" w14:textId="77777777" w:rsidR="008F2CA3" w:rsidRPr="008F2CA3" w:rsidRDefault="008F2CA3" w:rsidP="00C45F16">
      <w:pPr>
        <w:numPr>
          <w:ilvl w:val="2"/>
          <w:numId w:val="5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Mean:</w:t>
      </w:r>
      <w:r w:rsidRPr="008F2CA3">
        <w:rPr>
          <w:color w:val="222A35" w:themeColor="text2" w:themeShade="80"/>
          <w:sz w:val="24"/>
          <w:szCs w:val="24"/>
        </w:rPr>
        <w:t> Not explicitly provided, but stable banks maintain lower operational efficiency ratios compared to defunct banks.</w:t>
      </w:r>
    </w:p>
    <w:p w14:paraId="190AF67E" w14:textId="77777777" w:rsidR="008F2CA3" w:rsidRPr="008F2CA3" w:rsidRDefault="00000000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color w:val="222A35" w:themeColor="text2" w:themeShade="80"/>
          <w:sz w:val="24"/>
          <w:szCs w:val="24"/>
        </w:rPr>
        <w:pict w14:anchorId="268E0A61">
          <v:rect id="_x0000_i1025" style="width:0;height:0" o:hralign="center" o:hrstd="t" o:hrnoshade="t" o:hr="t" fillcolor="#374151" stroked="f"/>
        </w:pict>
      </w:r>
    </w:p>
    <w:p w14:paraId="549EF02D" w14:textId="7931E4F6" w:rsidR="008F2CA3" w:rsidRPr="00E457F1" w:rsidRDefault="008F2CA3" w:rsidP="00C45F16">
      <w:pPr>
        <w:pStyle w:val="ListParagraph"/>
        <w:numPr>
          <w:ilvl w:val="0"/>
          <w:numId w:val="8"/>
        </w:numPr>
        <w:jc w:val="both"/>
        <w:rPr>
          <w:b/>
          <w:bCs/>
          <w:color w:val="1F4E79" w:themeColor="accent5" w:themeShade="80"/>
          <w:sz w:val="24"/>
          <w:szCs w:val="24"/>
        </w:rPr>
      </w:pPr>
      <w:r w:rsidRPr="00E457F1">
        <w:rPr>
          <w:b/>
          <w:bCs/>
          <w:color w:val="1F4E79" w:themeColor="accent5" w:themeShade="80"/>
          <w:sz w:val="24"/>
          <w:szCs w:val="24"/>
        </w:rPr>
        <w:t>Stability Thresholds</w:t>
      </w:r>
    </w:p>
    <w:p w14:paraId="7070D539" w14:textId="77777777" w:rsidR="008F2CA3" w:rsidRPr="008F2CA3" w:rsidRDefault="008F2CA3" w:rsidP="00C45F16">
      <w:pPr>
        <w:numPr>
          <w:ilvl w:val="0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Identified Thresholds for Key Metrics:</w:t>
      </w:r>
    </w:p>
    <w:p w14:paraId="33B0D49C" w14:textId="77777777" w:rsidR="008F2CA3" w:rsidRPr="008F2CA3" w:rsidRDefault="008F2CA3" w:rsidP="00C45F16">
      <w:pPr>
        <w:numPr>
          <w:ilvl w:val="1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Capital Adequacy Ratio (CAR):</w:t>
      </w:r>
    </w:p>
    <w:p w14:paraId="21D9238A" w14:textId="77777777" w:rsidR="008F2CA3" w:rsidRPr="008F2CA3" w:rsidRDefault="008F2CA3" w:rsidP="00C45F16">
      <w:pPr>
        <w:numPr>
          <w:ilvl w:val="2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Threshold:</w:t>
      </w:r>
      <w:r w:rsidRPr="008F2CA3">
        <w:rPr>
          <w:color w:val="222A35" w:themeColor="text2" w:themeShade="80"/>
          <w:sz w:val="24"/>
          <w:szCs w:val="24"/>
        </w:rPr>
        <w:t> Below 10% indicates a strong risk of instability.</w:t>
      </w:r>
    </w:p>
    <w:p w14:paraId="223527D2" w14:textId="77777777" w:rsidR="008F2CA3" w:rsidRPr="008F2CA3" w:rsidRDefault="008F2CA3" w:rsidP="00C45F16">
      <w:pPr>
        <w:numPr>
          <w:ilvl w:val="1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Non-Performing Loans (NPL):</w:t>
      </w:r>
    </w:p>
    <w:p w14:paraId="6C457017" w14:textId="77777777" w:rsidR="008F2CA3" w:rsidRPr="008F2CA3" w:rsidRDefault="008F2CA3" w:rsidP="00C45F16">
      <w:pPr>
        <w:numPr>
          <w:ilvl w:val="2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Threshold:</w:t>
      </w:r>
      <w:r w:rsidRPr="008F2CA3">
        <w:rPr>
          <w:color w:val="222A35" w:themeColor="text2" w:themeShade="80"/>
          <w:sz w:val="24"/>
          <w:szCs w:val="24"/>
        </w:rPr>
        <w:t> Ratios over 15% are highly correlated with bank failure.</w:t>
      </w:r>
    </w:p>
    <w:p w14:paraId="3EEA032A" w14:textId="77777777" w:rsidR="008F2CA3" w:rsidRPr="008F2CA3" w:rsidRDefault="008F2CA3" w:rsidP="00C45F16">
      <w:pPr>
        <w:numPr>
          <w:ilvl w:val="1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Liquidity Coverage Ratio:</w:t>
      </w:r>
    </w:p>
    <w:p w14:paraId="32882FCF" w14:textId="77777777" w:rsidR="008F2CA3" w:rsidRPr="008F2CA3" w:rsidRDefault="008F2CA3" w:rsidP="00C45F16">
      <w:pPr>
        <w:numPr>
          <w:ilvl w:val="2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lastRenderedPageBreak/>
        <w:t>Threshold:</w:t>
      </w:r>
      <w:r w:rsidRPr="008F2CA3">
        <w:rPr>
          <w:color w:val="222A35" w:themeColor="text2" w:themeShade="80"/>
          <w:sz w:val="24"/>
          <w:szCs w:val="24"/>
        </w:rPr>
        <w:t> Ratios below 20% suggest higher failure rates.</w:t>
      </w:r>
    </w:p>
    <w:p w14:paraId="2D9EF1F7" w14:textId="77777777" w:rsidR="008F2CA3" w:rsidRPr="008F2CA3" w:rsidRDefault="008F2CA3" w:rsidP="00C45F16">
      <w:pPr>
        <w:numPr>
          <w:ilvl w:val="1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Loan-to-Deposit Ratio (LDR):</w:t>
      </w:r>
    </w:p>
    <w:p w14:paraId="45B55B6F" w14:textId="77777777" w:rsidR="008F2CA3" w:rsidRPr="008F2CA3" w:rsidRDefault="008F2CA3" w:rsidP="00C45F16">
      <w:pPr>
        <w:numPr>
          <w:ilvl w:val="2"/>
          <w:numId w:val="6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Threshold:</w:t>
      </w:r>
      <w:r w:rsidRPr="008F2CA3">
        <w:rPr>
          <w:color w:val="222A35" w:themeColor="text2" w:themeShade="80"/>
          <w:sz w:val="24"/>
          <w:szCs w:val="24"/>
        </w:rPr>
        <w:t> Ratios exceeding 90% indicate over-leveraging and financial stress.</w:t>
      </w:r>
    </w:p>
    <w:p w14:paraId="5A517597" w14:textId="63DEF9B0" w:rsidR="008F2CA3" w:rsidRPr="008F2CA3" w:rsidRDefault="00000000" w:rsidP="00C45F16">
      <w:pPr>
        <w:jc w:val="both"/>
        <w:rPr>
          <w:color w:val="1F4E79" w:themeColor="accent5" w:themeShade="80"/>
          <w:sz w:val="24"/>
          <w:szCs w:val="24"/>
        </w:rPr>
      </w:pPr>
      <w:r>
        <w:rPr>
          <w:color w:val="1F4E79" w:themeColor="accent5" w:themeShade="80"/>
          <w:sz w:val="24"/>
          <w:szCs w:val="24"/>
        </w:rPr>
        <w:pict w14:anchorId="3230EB9A">
          <v:rect id="_x0000_i1026" style="width:0;height:0" o:hralign="center" o:hrstd="t" o:hrnoshade="t" o:hr="t" fillcolor="#374151" stroked="f"/>
        </w:pict>
      </w:r>
      <w:r w:rsidR="008F2CA3">
        <w:rPr>
          <w:color w:val="1F4E79" w:themeColor="accent5" w:themeShade="80"/>
          <w:sz w:val="24"/>
          <w:szCs w:val="24"/>
        </w:rPr>
        <w:t xml:space="preserve">    3. </w:t>
      </w:r>
      <w:r w:rsidR="008F2CA3" w:rsidRPr="008F2CA3">
        <w:rPr>
          <w:b/>
          <w:bCs/>
          <w:color w:val="1F4E79" w:themeColor="accent5" w:themeShade="80"/>
          <w:sz w:val="24"/>
          <w:szCs w:val="24"/>
        </w:rPr>
        <w:t>Temporal Trends</w:t>
      </w:r>
    </w:p>
    <w:p w14:paraId="0219177F" w14:textId="77777777" w:rsidR="008F2CA3" w:rsidRPr="008F2CA3" w:rsidRDefault="008F2CA3" w:rsidP="00C45F16">
      <w:pPr>
        <w:numPr>
          <w:ilvl w:val="0"/>
          <w:numId w:val="7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Trends Over Time:</w:t>
      </w:r>
    </w:p>
    <w:p w14:paraId="17A71D5C" w14:textId="77777777" w:rsidR="008F2CA3" w:rsidRPr="008F2CA3" w:rsidRDefault="008F2CA3" w:rsidP="00C45F16">
      <w:pPr>
        <w:numPr>
          <w:ilvl w:val="1"/>
          <w:numId w:val="7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Post-2010 Improvements:</w:t>
      </w:r>
    </w:p>
    <w:p w14:paraId="011E0B13" w14:textId="77777777" w:rsidR="008F2CA3" w:rsidRPr="008F2CA3" w:rsidRDefault="008F2CA3" w:rsidP="00C45F16">
      <w:pPr>
        <w:numPr>
          <w:ilvl w:val="2"/>
          <w:numId w:val="7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There is a noticeable improvement in bank stability metrics post-2010, aligning with the implementation of stricter regulatory standards.</w:t>
      </w:r>
    </w:p>
    <w:p w14:paraId="789B884E" w14:textId="77777777" w:rsidR="008F2CA3" w:rsidRPr="008F2CA3" w:rsidRDefault="008F2CA3" w:rsidP="00C45F16">
      <w:pPr>
        <w:numPr>
          <w:ilvl w:val="2"/>
          <w:numId w:val="7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Average CAR and liquidity ratios have shown consistent growth, reflecting prudent financial practices.</w:t>
      </w:r>
    </w:p>
    <w:p w14:paraId="01C8FF38" w14:textId="77777777" w:rsidR="008F2CA3" w:rsidRPr="008F2CA3" w:rsidRDefault="008F2CA3" w:rsidP="00C45F16">
      <w:pPr>
        <w:numPr>
          <w:ilvl w:val="1"/>
          <w:numId w:val="7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Decline in Defunct Banks:</w:t>
      </w:r>
    </w:p>
    <w:p w14:paraId="16F3AF22" w14:textId="77777777" w:rsidR="008F2CA3" w:rsidRPr="008F2CA3" w:rsidRDefault="008F2CA3" w:rsidP="00C45F16">
      <w:pPr>
        <w:numPr>
          <w:ilvl w:val="2"/>
          <w:numId w:val="7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The number of defunct banks has decreased significantly post-2010, suggesting that regulatory compliance has positively impacted bank stability.</w:t>
      </w:r>
    </w:p>
    <w:p w14:paraId="1D927024" w14:textId="77777777" w:rsidR="008F2CA3" w:rsidRPr="008F2CA3" w:rsidRDefault="008F2CA3" w:rsidP="00C45F16">
      <w:pPr>
        <w:numPr>
          <w:ilvl w:val="2"/>
          <w:numId w:val="7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Defunct banks exhibited a progressive decline in CAR and liquidity in the years leading to their failure.</w:t>
      </w:r>
    </w:p>
    <w:p w14:paraId="4F1941F8" w14:textId="77777777" w:rsidR="001919D7" w:rsidRPr="006B12C1" w:rsidRDefault="001919D7" w:rsidP="00C45F16">
      <w:pPr>
        <w:jc w:val="both"/>
        <w:rPr>
          <w:color w:val="222A35" w:themeColor="text2" w:themeShade="80"/>
          <w:sz w:val="24"/>
          <w:szCs w:val="24"/>
        </w:rPr>
      </w:pPr>
    </w:p>
    <w:p w14:paraId="1E5E2BAE" w14:textId="77777777" w:rsidR="00AE422A" w:rsidRDefault="008F2CA3" w:rsidP="00C45F16">
      <w:pPr>
        <w:jc w:val="both"/>
        <w:rPr>
          <w:color w:val="222A35" w:themeColor="text2" w:themeShade="80"/>
          <w:sz w:val="36"/>
          <w:szCs w:val="36"/>
          <w:u w:val="single"/>
        </w:rPr>
      </w:pPr>
      <w:r w:rsidRPr="008F2CA3">
        <w:rPr>
          <w:color w:val="222A35" w:themeColor="text2" w:themeShade="80"/>
          <w:sz w:val="36"/>
          <w:szCs w:val="36"/>
          <w:u w:val="single"/>
        </w:rPr>
        <w:t>Distribution of Key Financial Metrics</w:t>
      </w:r>
    </w:p>
    <w:p w14:paraId="532FFB61" w14:textId="0CAF5472" w:rsidR="008F2CA3" w:rsidRPr="00E457F1" w:rsidRDefault="008F2CA3" w:rsidP="00C45F16">
      <w:pPr>
        <w:pStyle w:val="ListParagraph"/>
        <w:numPr>
          <w:ilvl w:val="0"/>
          <w:numId w:val="9"/>
        </w:numPr>
        <w:jc w:val="both"/>
        <w:rPr>
          <w:b/>
          <w:bCs/>
          <w:color w:val="1F4E79" w:themeColor="accent5" w:themeShade="80"/>
          <w:sz w:val="36"/>
          <w:szCs w:val="36"/>
          <w:u w:val="single"/>
        </w:rPr>
      </w:pPr>
      <w:r w:rsidRPr="00E457F1">
        <w:rPr>
          <w:b/>
          <w:bCs/>
          <w:color w:val="1F4E79" w:themeColor="accent5" w:themeShade="80"/>
          <w:sz w:val="24"/>
          <w:szCs w:val="24"/>
        </w:rPr>
        <w:t>Histograms:</w:t>
      </w:r>
    </w:p>
    <w:p w14:paraId="72CB99F1" w14:textId="77777777" w:rsidR="008F2CA3" w:rsidRPr="008F2CA3" w:rsidRDefault="008F2CA3" w:rsidP="00C45F16">
      <w:pPr>
        <w:numPr>
          <w:ilvl w:val="1"/>
          <w:numId w:val="9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Visualizations of key metrics such as Capital Adequacy Ratio (CAR), Non-Performing Loans (NPL), Liquidity Coverage Ratio, and Loan-to-Deposit Ratio.</w:t>
      </w:r>
    </w:p>
    <w:p w14:paraId="07DDAD5D" w14:textId="77777777" w:rsidR="008F2CA3" w:rsidRPr="008F2CA3" w:rsidRDefault="008F2CA3" w:rsidP="00C45F16">
      <w:pPr>
        <w:numPr>
          <w:ilvl w:val="1"/>
          <w:numId w:val="9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Highlight:</w:t>
      </w:r>
    </w:p>
    <w:p w14:paraId="5E50712C" w14:textId="77777777" w:rsidR="008F2CA3" w:rsidRPr="008F2CA3" w:rsidRDefault="008F2CA3" w:rsidP="00C45F16">
      <w:pPr>
        <w:numPr>
          <w:ilvl w:val="2"/>
          <w:numId w:val="9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The distribution of CAR shows that most stable banks have values above 12%, while defunct banks frequently fall below 10%.</w:t>
      </w:r>
    </w:p>
    <w:p w14:paraId="4F127B27" w14:textId="77777777" w:rsidR="008F2CA3" w:rsidRPr="008F2CA3" w:rsidRDefault="008F2CA3" w:rsidP="00C45F16">
      <w:pPr>
        <w:numPr>
          <w:ilvl w:val="2"/>
          <w:numId w:val="9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NPL ratios for defunct banks are skewed to the right, indicating a higher frequency of loans in default.</w:t>
      </w:r>
    </w:p>
    <w:p w14:paraId="35EEA2E6" w14:textId="18D7D6FF" w:rsidR="008F2CA3" w:rsidRPr="00E457F1" w:rsidRDefault="008F2CA3" w:rsidP="00C45F16">
      <w:pPr>
        <w:pStyle w:val="ListParagraph"/>
        <w:numPr>
          <w:ilvl w:val="0"/>
          <w:numId w:val="9"/>
        </w:numPr>
        <w:jc w:val="both"/>
        <w:rPr>
          <w:b/>
          <w:bCs/>
          <w:color w:val="1F4E79" w:themeColor="accent5" w:themeShade="80"/>
          <w:sz w:val="24"/>
          <w:szCs w:val="24"/>
        </w:rPr>
      </w:pPr>
      <w:r w:rsidRPr="00E457F1">
        <w:rPr>
          <w:b/>
          <w:bCs/>
          <w:color w:val="1F4E79" w:themeColor="accent5" w:themeShade="80"/>
          <w:sz w:val="24"/>
          <w:szCs w:val="24"/>
        </w:rPr>
        <w:t>Correlation Heatmap</w:t>
      </w:r>
    </w:p>
    <w:p w14:paraId="1EEC33CA" w14:textId="77777777" w:rsidR="008F2CA3" w:rsidRPr="008F2CA3" w:rsidRDefault="008F2CA3" w:rsidP="00C45F16">
      <w:pPr>
        <w:numPr>
          <w:ilvl w:val="0"/>
          <w:numId w:val="10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Heatmap Visualization:</w:t>
      </w:r>
    </w:p>
    <w:p w14:paraId="668B84E0" w14:textId="77777777" w:rsidR="008F2CA3" w:rsidRPr="008F2CA3" w:rsidRDefault="008F2CA3" w:rsidP="00C45F16">
      <w:pPr>
        <w:numPr>
          <w:ilvl w:val="1"/>
          <w:numId w:val="10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A correlation heatmap was created to visualize the relationships between financial metrics.</w:t>
      </w:r>
    </w:p>
    <w:p w14:paraId="117583EF" w14:textId="77777777" w:rsidR="008F2CA3" w:rsidRPr="008F2CA3" w:rsidRDefault="008F2CA3" w:rsidP="00C45F16">
      <w:pPr>
        <w:numPr>
          <w:ilvl w:val="1"/>
          <w:numId w:val="10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Highlight:</w:t>
      </w:r>
    </w:p>
    <w:p w14:paraId="64531348" w14:textId="77777777" w:rsidR="008F2CA3" w:rsidRPr="008F2CA3" w:rsidRDefault="008F2CA3" w:rsidP="00C45F16">
      <w:pPr>
        <w:numPr>
          <w:ilvl w:val="2"/>
          <w:numId w:val="10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lastRenderedPageBreak/>
        <w:t>Strong negative correlation between CAR and NPL (r = -0.75), indicating that as CAR decreases, NPL tends to increase.</w:t>
      </w:r>
    </w:p>
    <w:p w14:paraId="6217987B" w14:textId="77777777" w:rsidR="008F2CA3" w:rsidRPr="008F2CA3" w:rsidRDefault="008F2CA3" w:rsidP="00C45F16">
      <w:pPr>
        <w:numPr>
          <w:ilvl w:val="2"/>
          <w:numId w:val="10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Positive correlation between LDR and NPL, suggesting that higher loan-to-deposit ratios may lead to increased risk of non-performing loans.</w:t>
      </w:r>
    </w:p>
    <w:p w14:paraId="3E419308" w14:textId="77777777" w:rsidR="008F2CA3" w:rsidRPr="008F2CA3" w:rsidRDefault="00000000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color w:val="222A35" w:themeColor="text2" w:themeShade="80"/>
          <w:sz w:val="24"/>
          <w:szCs w:val="24"/>
        </w:rPr>
        <w:pict w14:anchorId="0EEC18A1">
          <v:rect id="_x0000_i1027" style="width:0;height:0" o:hralign="center" o:hrstd="t" o:hrnoshade="t" o:hr="t" fillcolor="#374151" stroked="f"/>
        </w:pict>
      </w:r>
    </w:p>
    <w:p w14:paraId="74B26668" w14:textId="4C6EB90F" w:rsidR="008F2CA3" w:rsidRPr="00E457F1" w:rsidRDefault="008F2CA3" w:rsidP="00C45F16">
      <w:pPr>
        <w:pStyle w:val="ListParagraph"/>
        <w:numPr>
          <w:ilvl w:val="0"/>
          <w:numId w:val="9"/>
        </w:numPr>
        <w:jc w:val="both"/>
        <w:rPr>
          <w:b/>
          <w:bCs/>
          <w:color w:val="1F4E79" w:themeColor="accent5" w:themeShade="80"/>
          <w:sz w:val="24"/>
          <w:szCs w:val="24"/>
        </w:rPr>
      </w:pPr>
      <w:r w:rsidRPr="00E457F1">
        <w:rPr>
          <w:b/>
          <w:bCs/>
          <w:color w:val="1F4E79" w:themeColor="accent5" w:themeShade="80"/>
          <w:sz w:val="24"/>
          <w:szCs w:val="24"/>
        </w:rPr>
        <w:t>Box Plots for Stability Comparison</w:t>
      </w:r>
    </w:p>
    <w:p w14:paraId="7B0F8F13" w14:textId="77777777" w:rsidR="008F2CA3" w:rsidRPr="008F2CA3" w:rsidRDefault="008F2CA3" w:rsidP="00C45F16">
      <w:pPr>
        <w:numPr>
          <w:ilvl w:val="0"/>
          <w:numId w:val="11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Box Plots:</w:t>
      </w:r>
    </w:p>
    <w:p w14:paraId="1EF0D04E" w14:textId="77777777" w:rsidR="008F2CA3" w:rsidRPr="008F2CA3" w:rsidRDefault="008F2CA3" w:rsidP="00C45F16">
      <w:pPr>
        <w:numPr>
          <w:ilvl w:val="1"/>
          <w:numId w:val="11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Box plots were used to compare the distributions of CAR, NPL, and Liquidity Ratios between defunct and stable banks.</w:t>
      </w:r>
    </w:p>
    <w:p w14:paraId="1773F251" w14:textId="77777777" w:rsidR="008F2CA3" w:rsidRPr="008F2CA3" w:rsidRDefault="008F2CA3" w:rsidP="00C45F16">
      <w:pPr>
        <w:numPr>
          <w:ilvl w:val="1"/>
          <w:numId w:val="11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Highlight:</w:t>
      </w:r>
    </w:p>
    <w:p w14:paraId="5623C6D2" w14:textId="77777777" w:rsidR="008F2CA3" w:rsidRPr="008F2CA3" w:rsidRDefault="008F2CA3" w:rsidP="00C45F16">
      <w:pPr>
        <w:numPr>
          <w:ilvl w:val="2"/>
          <w:numId w:val="11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Defunct banks consistently show lower median CAR and Liquidity Ratios compared to stable banks.</w:t>
      </w:r>
    </w:p>
    <w:p w14:paraId="358F4560" w14:textId="77777777" w:rsidR="008F2CA3" w:rsidRPr="008F2CA3" w:rsidRDefault="008F2CA3" w:rsidP="00C45F16">
      <w:pPr>
        <w:numPr>
          <w:ilvl w:val="2"/>
          <w:numId w:val="11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The interquartile range (IQR) for NPL is significantly higher for defunct banks, indicating greater variability in loan performance.</w:t>
      </w:r>
    </w:p>
    <w:p w14:paraId="54653A9B" w14:textId="77777777" w:rsidR="008F2CA3" w:rsidRPr="008F2CA3" w:rsidRDefault="00000000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color w:val="222A35" w:themeColor="text2" w:themeShade="80"/>
          <w:sz w:val="24"/>
          <w:szCs w:val="24"/>
        </w:rPr>
        <w:pict w14:anchorId="12798766">
          <v:rect id="_x0000_i1028" style="width:0;height:0" o:hralign="center" o:hrstd="t" o:hrnoshade="t" o:hr="t" fillcolor="#374151" stroked="f"/>
        </w:pict>
      </w:r>
    </w:p>
    <w:p w14:paraId="4A863821" w14:textId="20B5FB2D" w:rsidR="008F2CA3" w:rsidRPr="00E457F1" w:rsidRDefault="008F2CA3" w:rsidP="00C45F16">
      <w:pPr>
        <w:pStyle w:val="ListParagraph"/>
        <w:numPr>
          <w:ilvl w:val="0"/>
          <w:numId w:val="9"/>
        </w:numPr>
        <w:jc w:val="both"/>
        <w:rPr>
          <w:b/>
          <w:bCs/>
          <w:color w:val="1F4E79" w:themeColor="accent5" w:themeShade="80"/>
          <w:sz w:val="24"/>
          <w:szCs w:val="24"/>
        </w:rPr>
      </w:pPr>
      <w:r w:rsidRPr="00E457F1">
        <w:rPr>
          <w:b/>
          <w:bCs/>
          <w:color w:val="1F4E79" w:themeColor="accent5" w:themeShade="80"/>
          <w:sz w:val="24"/>
          <w:szCs w:val="24"/>
        </w:rPr>
        <w:t>Scatter Plots</w:t>
      </w:r>
    </w:p>
    <w:p w14:paraId="1A243271" w14:textId="77777777" w:rsidR="008F2CA3" w:rsidRPr="008F2CA3" w:rsidRDefault="008F2CA3" w:rsidP="00C45F16">
      <w:pPr>
        <w:numPr>
          <w:ilvl w:val="0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Scatter Plot of CAR vs. NPL:</w:t>
      </w:r>
    </w:p>
    <w:p w14:paraId="79AFD477" w14:textId="77777777" w:rsidR="008F2CA3" w:rsidRPr="008F2CA3" w:rsidRDefault="008F2CA3" w:rsidP="00C45F16">
      <w:pPr>
        <w:numPr>
          <w:ilvl w:val="1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A scatter plot visualizing the relationship between CAR and NPL ratios.</w:t>
      </w:r>
    </w:p>
    <w:p w14:paraId="6976DB01" w14:textId="77777777" w:rsidR="008F2CA3" w:rsidRPr="008F2CA3" w:rsidRDefault="008F2CA3" w:rsidP="00C45F16">
      <w:pPr>
        <w:numPr>
          <w:ilvl w:val="1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Highlight:</w:t>
      </w:r>
    </w:p>
    <w:p w14:paraId="0FBCA649" w14:textId="77777777" w:rsidR="008F2CA3" w:rsidRPr="008F2CA3" w:rsidRDefault="008F2CA3" w:rsidP="00C45F16">
      <w:pPr>
        <w:numPr>
          <w:ilvl w:val="2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The plot reveals a clear trend where banks with lower CAR tend to have higher NPL ratios, reinforcing the importance of maintaining adequate capital.</w:t>
      </w:r>
    </w:p>
    <w:p w14:paraId="5343E7BB" w14:textId="77777777" w:rsidR="008F2CA3" w:rsidRPr="008F2CA3" w:rsidRDefault="008F2CA3" w:rsidP="00C45F16">
      <w:pPr>
        <w:numPr>
          <w:ilvl w:val="0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Scatter Plot of LDR vs. Liquidity Ratio:</w:t>
      </w:r>
    </w:p>
    <w:p w14:paraId="6F1DC706" w14:textId="77777777" w:rsidR="008F2CA3" w:rsidRPr="008F2CA3" w:rsidRDefault="008F2CA3" w:rsidP="00C45F16">
      <w:pPr>
        <w:numPr>
          <w:ilvl w:val="1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This plot shows the relationship between LDR and Liquidity Ratio.</w:t>
      </w:r>
    </w:p>
    <w:p w14:paraId="64692611" w14:textId="77777777" w:rsidR="008F2CA3" w:rsidRPr="008F2CA3" w:rsidRDefault="008F2CA3" w:rsidP="00C45F16">
      <w:pPr>
        <w:numPr>
          <w:ilvl w:val="1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Highlight:</w:t>
      </w:r>
    </w:p>
    <w:p w14:paraId="30E641CE" w14:textId="77777777" w:rsidR="008F2CA3" w:rsidRPr="008F2CA3" w:rsidRDefault="008F2CA3" w:rsidP="00C45F16">
      <w:pPr>
        <w:numPr>
          <w:ilvl w:val="2"/>
          <w:numId w:val="12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Banks with LDR above 90% often have lower liquidity ratios, indicating potential over-leveraging and financial stress.</w:t>
      </w:r>
    </w:p>
    <w:p w14:paraId="0FCB8A30" w14:textId="35F1F634" w:rsidR="00AE422A" w:rsidRPr="00AE422A" w:rsidRDefault="00000000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color w:val="222A35" w:themeColor="text2" w:themeShade="80"/>
          <w:sz w:val="24"/>
          <w:szCs w:val="24"/>
        </w:rPr>
        <w:pict w14:anchorId="5B4BFC4A">
          <v:rect id="_x0000_i1029" style="width:0;height:0" o:hralign="center" o:hrstd="t" o:hrnoshade="t" o:hr="t" fillcolor="#374151" stroked="f"/>
        </w:pict>
      </w:r>
    </w:p>
    <w:p w14:paraId="268F121C" w14:textId="60F95FA7" w:rsidR="008F2CA3" w:rsidRPr="00E457F1" w:rsidRDefault="008F2CA3" w:rsidP="00C45F16">
      <w:pPr>
        <w:pStyle w:val="ListParagraph"/>
        <w:numPr>
          <w:ilvl w:val="0"/>
          <w:numId w:val="9"/>
        </w:numPr>
        <w:jc w:val="both"/>
        <w:rPr>
          <w:b/>
          <w:bCs/>
          <w:color w:val="1F4E79" w:themeColor="accent5" w:themeShade="80"/>
          <w:sz w:val="24"/>
          <w:szCs w:val="24"/>
        </w:rPr>
      </w:pPr>
      <w:r w:rsidRPr="00E457F1">
        <w:rPr>
          <w:b/>
          <w:bCs/>
          <w:color w:val="1F4E79" w:themeColor="accent5" w:themeShade="80"/>
          <w:sz w:val="24"/>
          <w:szCs w:val="24"/>
        </w:rPr>
        <w:t>Performance by Region</w:t>
      </w:r>
    </w:p>
    <w:p w14:paraId="59B673FE" w14:textId="77777777" w:rsidR="008F2CA3" w:rsidRPr="008F2CA3" w:rsidRDefault="008F2CA3" w:rsidP="00C45F16">
      <w:pPr>
        <w:numPr>
          <w:ilvl w:val="0"/>
          <w:numId w:val="14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t>Bar Charts:</w:t>
      </w:r>
    </w:p>
    <w:p w14:paraId="478CBD7A" w14:textId="77777777" w:rsidR="008F2CA3" w:rsidRPr="008F2CA3" w:rsidRDefault="008F2CA3" w:rsidP="00C45F16">
      <w:pPr>
        <w:numPr>
          <w:ilvl w:val="1"/>
          <w:numId w:val="14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Bar charts were created to compare the average CAR, NPL, and Liquidity Ratios across different regions.</w:t>
      </w:r>
    </w:p>
    <w:p w14:paraId="7D4DC1DD" w14:textId="77777777" w:rsidR="008F2CA3" w:rsidRPr="008F2CA3" w:rsidRDefault="008F2CA3" w:rsidP="00C45F16">
      <w:pPr>
        <w:numPr>
          <w:ilvl w:val="1"/>
          <w:numId w:val="14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b/>
          <w:bCs/>
          <w:color w:val="222A35" w:themeColor="text2" w:themeShade="80"/>
          <w:sz w:val="24"/>
          <w:szCs w:val="24"/>
        </w:rPr>
        <w:lastRenderedPageBreak/>
        <w:t>Highlight:</w:t>
      </w:r>
    </w:p>
    <w:p w14:paraId="2B13459B" w14:textId="77777777" w:rsidR="008F2CA3" w:rsidRPr="008F2CA3" w:rsidRDefault="008F2CA3" w:rsidP="00C45F16">
      <w:pPr>
        <w:numPr>
          <w:ilvl w:val="2"/>
          <w:numId w:val="14"/>
        </w:numPr>
        <w:jc w:val="both"/>
        <w:rPr>
          <w:color w:val="222A35" w:themeColor="text2" w:themeShade="80"/>
          <w:sz w:val="24"/>
          <w:szCs w:val="24"/>
        </w:rPr>
      </w:pPr>
      <w:r w:rsidRPr="008F2CA3">
        <w:rPr>
          <w:color w:val="222A35" w:themeColor="text2" w:themeShade="80"/>
          <w:sz w:val="24"/>
          <w:szCs w:val="24"/>
        </w:rPr>
        <w:t>Certain regions exhibit significantly higher average CAR and lower NPL ratios, indicating better overall bank performance and stability.</w:t>
      </w:r>
    </w:p>
    <w:p w14:paraId="1D620AC6" w14:textId="77777777" w:rsidR="008F2CA3" w:rsidRPr="008F2CA3" w:rsidRDefault="00000000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color w:val="222A35" w:themeColor="text2" w:themeShade="80"/>
          <w:sz w:val="24"/>
          <w:szCs w:val="24"/>
        </w:rPr>
        <w:pict w14:anchorId="4F4BD30E">
          <v:rect id="_x0000_i1030" style="width:0;height:0" o:hralign="center" o:hrstd="t" o:hrnoshade="t" o:hr="t" fillcolor="#374151" stroked="f"/>
        </w:pict>
      </w:r>
    </w:p>
    <w:p w14:paraId="654077A9" w14:textId="77777777" w:rsidR="00AE422A" w:rsidRPr="000E048F" w:rsidRDefault="00AE422A" w:rsidP="00C45F16">
      <w:pPr>
        <w:jc w:val="both"/>
        <w:rPr>
          <w:color w:val="1F4E79" w:themeColor="accent5" w:themeShade="80"/>
          <w:sz w:val="36"/>
          <w:szCs w:val="36"/>
          <w:u w:val="single"/>
        </w:rPr>
      </w:pPr>
      <w:r w:rsidRPr="000E048F">
        <w:rPr>
          <w:color w:val="1F4E79" w:themeColor="accent5" w:themeShade="80"/>
          <w:sz w:val="36"/>
          <w:szCs w:val="36"/>
          <w:u w:val="single"/>
        </w:rPr>
        <w:t>Recommendations for Stakeholders</w:t>
      </w:r>
    </w:p>
    <w:p w14:paraId="753B8AD9" w14:textId="77777777" w:rsidR="00AE422A" w:rsidRPr="00AE422A" w:rsidRDefault="00AE422A" w:rsidP="00C45F16">
      <w:pPr>
        <w:numPr>
          <w:ilvl w:val="0"/>
          <w:numId w:val="17"/>
        </w:numPr>
        <w:jc w:val="both"/>
        <w:rPr>
          <w:color w:val="222A35" w:themeColor="text2" w:themeShade="80"/>
          <w:sz w:val="24"/>
          <w:szCs w:val="24"/>
        </w:rPr>
      </w:pPr>
      <w:r w:rsidRPr="00AE422A">
        <w:rPr>
          <w:b/>
          <w:bCs/>
          <w:color w:val="222A35" w:themeColor="text2" w:themeShade="80"/>
          <w:sz w:val="24"/>
          <w:szCs w:val="24"/>
        </w:rPr>
        <w:t>Regular Monitoring:</w:t>
      </w:r>
      <w:r w:rsidRPr="00AE422A">
        <w:rPr>
          <w:color w:val="222A35" w:themeColor="text2" w:themeShade="80"/>
          <w:sz w:val="24"/>
          <w:szCs w:val="24"/>
        </w:rPr>
        <w:t> Banks should continuously monitor their financial metrics to ensure they remain within safe thresholds.</w:t>
      </w:r>
    </w:p>
    <w:p w14:paraId="084A9BB9" w14:textId="77777777" w:rsidR="00AE422A" w:rsidRPr="00AE422A" w:rsidRDefault="00AE422A" w:rsidP="00C45F16">
      <w:pPr>
        <w:numPr>
          <w:ilvl w:val="0"/>
          <w:numId w:val="17"/>
        </w:numPr>
        <w:jc w:val="both"/>
        <w:rPr>
          <w:color w:val="222A35" w:themeColor="text2" w:themeShade="80"/>
          <w:sz w:val="24"/>
          <w:szCs w:val="24"/>
        </w:rPr>
      </w:pPr>
      <w:r w:rsidRPr="00AE422A">
        <w:rPr>
          <w:b/>
          <w:bCs/>
          <w:color w:val="222A35" w:themeColor="text2" w:themeShade="80"/>
          <w:sz w:val="24"/>
          <w:szCs w:val="24"/>
        </w:rPr>
        <w:t>Predictive Tools:</w:t>
      </w:r>
      <w:r w:rsidRPr="00AE422A">
        <w:rPr>
          <w:color w:val="222A35" w:themeColor="text2" w:themeShade="80"/>
          <w:sz w:val="24"/>
          <w:szCs w:val="24"/>
        </w:rPr>
        <w:t> Implement predictive analytics tools to identify early warning signs of financial instability, allowing for timely interventions.</w:t>
      </w:r>
    </w:p>
    <w:p w14:paraId="3144C979" w14:textId="77777777" w:rsidR="00AE422A" w:rsidRDefault="00AE422A" w:rsidP="00C45F16">
      <w:pPr>
        <w:numPr>
          <w:ilvl w:val="0"/>
          <w:numId w:val="17"/>
        </w:numPr>
        <w:jc w:val="both"/>
        <w:rPr>
          <w:color w:val="222A35" w:themeColor="text2" w:themeShade="80"/>
          <w:sz w:val="24"/>
          <w:szCs w:val="24"/>
        </w:rPr>
      </w:pPr>
      <w:r w:rsidRPr="00AE422A">
        <w:rPr>
          <w:b/>
          <w:bCs/>
          <w:color w:val="222A35" w:themeColor="text2" w:themeShade="80"/>
          <w:sz w:val="24"/>
          <w:szCs w:val="24"/>
        </w:rPr>
        <w:t>Regulatory Compliance: </w:t>
      </w:r>
      <w:r w:rsidRPr="00AE422A">
        <w:rPr>
          <w:color w:val="222A35" w:themeColor="text2" w:themeShade="80"/>
          <w:sz w:val="24"/>
          <w:szCs w:val="24"/>
        </w:rPr>
        <w:t>Align operations with regulatory standards to enhance resilience and stability.</w:t>
      </w:r>
    </w:p>
    <w:p w14:paraId="1CF6A536" w14:textId="1DEC4DE2" w:rsidR="0035635D" w:rsidRPr="000E048F" w:rsidRDefault="00000000" w:rsidP="00C45F16">
      <w:pPr>
        <w:jc w:val="both"/>
        <w:rPr>
          <w:color w:val="1F4E79" w:themeColor="accent5" w:themeShade="80"/>
          <w:sz w:val="24"/>
          <w:szCs w:val="24"/>
        </w:rPr>
      </w:pPr>
      <w:r w:rsidRPr="000E048F">
        <w:rPr>
          <w:color w:val="1F4E79" w:themeColor="accent5" w:themeShade="80"/>
          <w:sz w:val="24"/>
          <w:szCs w:val="24"/>
        </w:rPr>
        <w:pict w14:anchorId="423CA769">
          <v:rect id="_x0000_i1031" style="width:0;height:0" o:hralign="center" o:hrstd="t" o:hrnoshade="t" o:hr="t" fillcolor="#374151" stroked="f"/>
        </w:pict>
      </w:r>
      <w:r w:rsidR="0035635D" w:rsidRPr="000E048F">
        <w:rPr>
          <w:color w:val="1F4E79" w:themeColor="accent5" w:themeShade="80"/>
          <w:sz w:val="36"/>
          <w:szCs w:val="36"/>
          <w:u w:val="single"/>
        </w:rPr>
        <w:t>Model Performance Evaluation</w:t>
      </w:r>
    </w:p>
    <w:p w14:paraId="3D2CC250" w14:textId="77777777" w:rsidR="0035635D" w:rsidRPr="0035635D" w:rsidRDefault="0035635D" w:rsidP="00C45F16">
      <w:pPr>
        <w:numPr>
          <w:ilvl w:val="0"/>
          <w:numId w:val="19"/>
        </w:numPr>
        <w:jc w:val="both"/>
        <w:rPr>
          <w:color w:val="1F4E79" w:themeColor="accent5" w:themeShade="80"/>
          <w:sz w:val="24"/>
          <w:szCs w:val="24"/>
        </w:rPr>
      </w:pPr>
      <w:r w:rsidRPr="0035635D">
        <w:rPr>
          <w:b/>
          <w:bCs/>
          <w:color w:val="1F4E79" w:themeColor="accent5" w:themeShade="80"/>
          <w:sz w:val="24"/>
          <w:szCs w:val="24"/>
        </w:rPr>
        <w:t>Models Evaluated:</w:t>
      </w:r>
    </w:p>
    <w:p w14:paraId="79274BA7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Random Forest Classifier</w:t>
      </w:r>
    </w:p>
    <w:p w14:paraId="738E48A4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Logistic Regression</w:t>
      </w:r>
    </w:p>
    <w:p w14:paraId="3485A8E6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Decision Tree Classifier</w:t>
      </w:r>
    </w:p>
    <w:p w14:paraId="06AD59FF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Gradient Boosting Classifier</w:t>
      </w:r>
    </w:p>
    <w:p w14:paraId="43624854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proofErr w:type="spellStart"/>
      <w:r w:rsidRPr="0035635D">
        <w:rPr>
          <w:color w:val="222A35" w:themeColor="text2" w:themeShade="80"/>
          <w:sz w:val="24"/>
          <w:szCs w:val="24"/>
        </w:rPr>
        <w:t>XGBoost</w:t>
      </w:r>
      <w:proofErr w:type="spellEnd"/>
      <w:r w:rsidRPr="0035635D">
        <w:rPr>
          <w:color w:val="222A35" w:themeColor="text2" w:themeShade="80"/>
          <w:sz w:val="24"/>
          <w:szCs w:val="24"/>
        </w:rPr>
        <w:t xml:space="preserve"> Classifier</w:t>
      </w:r>
    </w:p>
    <w:p w14:paraId="2C7D9D4D" w14:textId="77777777" w:rsidR="0035635D" w:rsidRPr="0035635D" w:rsidRDefault="0035635D" w:rsidP="00C45F16">
      <w:pPr>
        <w:numPr>
          <w:ilvl w:val="0"/>
          <w:numId w:val="19"/>
        </w:numPr>
        <w:jc w:val="both"/>
        <w:rPr>
          <w:color w:val="1F4E79" w:themeColor="accent5" w:themeShade="80"/>
          <w:sz w:val="24"/>
          <w:szCs w:val="24"/>
        </w:rPr>
      </w:pPr>
      <w:r w:rsidRPr="0035635D">
        <w:rPr>
          <w:b/>
          <w:bCs/>
          <w:color w:val="1F4E79" w:themeColor="accent5" w:themeShade="80"/>
          <w:sz w:val="24"/>
          <w:szCs w:val="24"/>
        </w:rPr>
        <w:t>Overall Accuracy:</w:t>
      </w:r>
    </w:p>
    <w:p w14:paraId="6A086431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The models achieved high accuracy rates, with the best-performing models reaching an accuracy of 99% to 100%.</w:t>
      </w:r>
    </w:p>
    <w:p w14:paraId="5EF8A81B" w14:textId="77777777" w:rsidR="0035635D" w:rsidRPr="0035635D" w:rsidRDefault="0035635D" w:rsidP="00C45F16">
      <w:pPr>
        <w:numPr>
          <w:ilvl w:val="0"/>
          <w:numId w:val="19"/>
        </w:numPr>
        <w:jc w:val="both"/>
        <w:rPr>
          <w:color w:val="1F4E79" w:themeColor="accent5" w:themeShade="80"/>
          <w:sz w:val="24"/>
          <w:szCs w:val="24"/>
        </w:rPr>
      </w:pPr>
      <w:r w:rsidRPr="0035635D">
        <w:rPr>
          <w:b/>
          <w:bCs/>
          <w:color w:val="1F4E79" w:themeColor="accent5" w:themeShade="80"/>
          <w:sz w:val="24"/>
          <w:szCs w:val="24"/>
        </w:rPr>
        <w:t xml:space="preserve">Key Metrics for </w:t>
      </w:r>
      <w:proofErr w:type="spellStart"/>
      <w:r w:rsidRPr="0035635D">
        <w:rPr>
          <w:b/>
          <w:bCs/>
          <w:color w:val="1F4E79" w:themeColor="accent5" w:themeShade="80"/>
          <w:sz w:val="24"/>
          <w:szCs w:val="24"/>
        </w:rPr>
        <w:t>XGBoost</w:t>
      </w:r>
      <w:proofErr w:type="spellEnd"/>
      <w:r w:rsidRPr="0035635D">
        <w:rPr>
          <w:b/>
          <w:bCs/>
          <w:color w:val="1F4E79" w:themeColor="accent5" w:themeShade="80"/>
          <w:sz w:val="24"/>
          <w:szCs w:val="24"/>
        </w:rPr>
        <w:t xml:space="preserve"> Classifier:</w:t>
      </w:r>
    </w:p>
    <w:p w14:paraId="0455FAC4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b/>
          <w:bCs/>
          <w:color w:val="222A35" w:themeColor="text2" w:themeShade="80"/>
          <w:sz w:val="24"/>
          <w:szCs w:val="24"/>
        </w:rPr>
        <w:t>Accuracy:</w:t>
      </w:r>
      <w:r w:rsidRPr="0035635D">
        <w:rPr>
          <w:color w:val="222A35" w:themeColor="text2" w:themeShade="80"/>
          <w:sz w:val="24"/>
          <w:szCs w:val="24"/>
        </w:rPr>
        <w:t> 100%</w:t>
      </w:r>
    </w:p>
    <w:p w14:paraId="7181D458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b/>
          <w:bCs/>
          <w:color w:val="222A35" w:themeColor="text2" w:themeShade="80"/>
          <w:sz w:val="24"/>
          <w:szCs w:val="24"/>
        </w:rPr>
        <w:t>Precision:</w:t>
      </w:r>
      <w:r w:rsidRPr="0035635D">
        <w:rPr>
          <w:color w:val="222A35" w:themeColor="text2" w:themeShade="80"/>
          <w:sz w:val="24"/>
          <w:szCs w:val="24"/>
        </w:rPr>
        <w:t> 100% for both classes</w:t>
      </w:r>
    </w:p>
    <w:p w14:paraId="1CBC1514" w14:textId="77777777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b/>
          <w:bCs/>
          <w:color w:val="222A35" w:themeColor="text2" w:themeShade="80"/>
          <w:sz w:val="24"/>
          <w:szCs w:val="24"/>
        </w:rPr>
        <w:t>Recall:</w:t>
      </w:r>
      <w:r w:rsidRPr="0035635D">
        <w:rPr>
          <w:color w:val="222A35" w:themeColor="text2" w:themeShade="80"/>
          <w:sz w:val="24"/>
          <w:szCs w:val="24"/>
        </w:rPr>
        <w:t> 99% for class '1' (defunct)</w:t>
      </w:r>
    </w:p>
    <w:p w14:paraId="4E96EF59" w14:textId="1633EF8E" w:rsidR="0035635D" w:rsidRPr="0035635D" w:rsidRDefault="0035635D" w:rsidP="00C45F16">
      <w:pPr>
        <w:numPr>
          <w:ilvl w:val="1"/>
          <w:numId w:val="19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b/>
          <w:bCs/>
          <w:color w:val="222A35" w:themeColor="text2" w:themeShade="80"/>
          <w:sz w:val="24"/>
          <w:szCs w:val="24"/>
        </w:rPr>
        <w:t>F1-Score:</w:t>
      </w:r>
      <w:r w:rsidRPr="0035635D">
        <w:rPr>
          <w:color w:val="222A35" w:themeColor="text2" w:themeShade="80"/>
          <w:sz w:val="24"/>
          <w:szCs w:val="24"/>
        </w:rPr>
        <w:t> 99%</w:t>
      </w:r>
    </w:p>
    <w:p w14:paraId="4A5264AA" w14:textId="70F769BC" w:rsidR="0035635D" w:rsidRPr="000E048F" w:rsidRDefault="00000000" w:rsidP="00C45F16">
      <w:pPr>
        <w:jc w:val="both"/>
        <w:rPr>
          <w:color w:val="1F4E79" w:themeColor="accent5" w:themeShade="80"/>
          <w:sz w:val="24"/>
          <w:szCs w:val="24"/>
        </w:rPr>
      </w:pPr>
      <w:r w:rsidRPr="000E048F">
        <w:rPr>
          <w:color w:val="1F4E79" w:themeColor="accent5" w:themeShade="80"/>
          <w:sz w:val="24"/>
          <w:szCs w:val="24"/>
        </w:rPr>
        <w:pict w14:anchorId="2BEF34C6">
          <v:rect id="_x0000_i1032" style="width:0;height:0" o:hralign="center" o:hrstd="t" o:hrnoshade="t" o:hr="t" fillcolor="#374151" stroked="f"/>
        </w:pict>
      </w:r>
      <w:r w:rsidR="0035635D" w:rsidRPr="000E048F">
        <w:rPr>
          <w:b/>
          <w:bCs/>
          <w:color w:val="1F4E79" w:themeColor="accent5" w:themeShade="80"/>
          <w:sz w:val="24"/>
          <w:szCs w:val="24"/>
        </w:rPr>
        <w:t xml:space="preserve"> </w:t>
      </w:r>
      <w:r w:rsidR="0035635D" w:rsidRPr="000E048F">
        <w:rPr>
          <w:color w:val="1F4E79" w:themeColor="accent5" w:themeShade="80"/>
          <w:sz w:val="36"/>
          <w:szCs w:val="36"/>
          <w:u w:val="single"/>
        </w:rPr>
        <w:t>Insights from Classification Reports</w:t>
      </w:r>
    </w:p>
    <w:p w14:paraId="55ECB3CF" w14:textId="77777777" w:rsidR="0035635D" w:rsidRPr="0035635D" w:rsidRDefault="0035635D" w:rsidP="00C45F16">
      <w:pPr>
        <w:numPr>
          <w:ilvl w:val="0"/>
          <w:numId w:val="20"/>
        </w:numPr>
        <w:jc w:val="both"/>
        <w:rPr>
          <w:color w:val="1F4E79" w:themeColor="accent5" w:themeShade="80"/>
          <w:sz w:val="24"/>
          <w:szCs w:val="24"/>
        </w:rPr>
      </w:pPr>
      <w:r w:rsidRPr="0035635D">
        <w:rPr>
          <w:b/>
          <w:bCs/>
          <w:color w:val="1F4E79" w:themeColor="accent5" w:themeShade="80"/>
          <w:sz w:val="24"/>
          <w:szCs w:val="24"/>
        </w:rPr>
        <w:t>Precision and Recall:</w:t>
      </w:r>
    </w:p>
    <w:p w14:paraId="74BAF52C" w14:textId="77777777" w:rsidR="0035635D" w:rsidRPr="0035635D" w:rsidRDefault="0035635D" w:rsidP="00C45F16">
      <w:pPr>
        <w:numPr>
          <w:ilvl w:val="1"/>
          <w:numId w:val="20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lastRenderedPageBreak/>
        <w:t>The models demonstrated excellent precision and recall, indicating that they are effective in correctly identifying both stable and defunct banks.</w:t>
      </w:r>
    </w:p>
    <w:p w14:paraId="435C852E" w14:textId="77777777" w:rsidR="0035635D" w:rsidRPr="0035635D" w:rsidRDefault="0035635D" w:rsidP="00C45F16">
      <w:pPr>
        <w:numPr>
          <w:ilvl w:val="1"/>
          <w:numId w:val="20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The high precision for class '0' (non-defunct) suggests that the models are reliable in predicting banks that are stable.</w:t>
      </w:r>
    </w:p>
    <w:p w14:paraId="4F6E1AA4" w14:textId="77777777" w:rsidR="0035635D" w:rsidRPr="0035635D" w:rsidRDefault="0035635D" w:rsidP="00C45F16">
      <w:pPr>
        <w:numPr>
          <w:ilvl w:val="0"/>
          <w:numId w:val="20"/>
        </w:numPr>
        <w:jc w:val="both"/>
        <w:rPr>
          <w:color w:val="1F4E79" w:themeColor="accent5" w:themeShade="80"/>
          <w:sz w:val="24"/>
          <w:szCs w:val="24"/>
        </w:rPr>
      </w:pPr>
      <w:r w:rsidRPr="0035635D">
        <w:rPr>
          <w:b/>
          <w:bCs/>
          <w:color w:val="1F4E79" w:themeColor="accent5" w:themeShade="80"/>
          <w:sz w:val="24"/>
          <w:szCs w:val="24"/>
        </w:rPr>
        <w:t>F1-Score:</w:t>
      </w:r>
    </w:p>
    <w:p w14:paraId="748F32A0" w14:textId="77777777" w:rsidR="0035635D" w:rsidRDefault="0035635D" w:rsidP="00C45F16">
      <w:pPr>
        <w:numPr>
          <w:ilvl w:val="1"/>
          <w:numId w:val="20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The F1-scores close to 1.00 indicate a strong balance between precision and recall, confirming the models' robustness in classification tasks.</w:t>
      </w:r>
    </w:p>
    <w:p w14:paraId="34CF0F5D" w14:textId="6C2F7B04" w:rsidR="0035635D" w:rsidRPr="00E457F1" w:rsidRDefault="0035635D" w:rsidP="00C45F16">
      <w:pPr>
        <w:pStyle w:val="ListParagraph"/>
        <w:numPr>
          <w:ilvl w:val="0"/>
          <w:numId w:val="20"/>
        </w:numPr>
        <w:jc w:val="both"/>
        <w:rPr>
          <w:color w:val="1F4E79" w:themeColor="accent5" w:themeShade="80"/>
          <w:sz w:val="24"/>
          <w:szCs w:val="24"/>
        </w:rPr>
      </w:pPr>
      <w:r w:rsidRPr="00E457F1">
        <w:rPr>
          <w:b/>
          <w:bCs/>
          <w:color w:val="1F4E79" w:themeColor="accent5" w:themeShade="80"/>
          <w:sz w:val="24"/>
          <w:szCs w:val="24"/>
        </w:rPr>
        <w:t>Confusion Matrix Analysis</w:t>
      </w:r>
    </w:p>
    <w:p w14:paraId="068D3E6D" w14:textId="62AD6549" w:rsidR="0035635D" w:rsidRPr="0035635D" w:rsidRDefault="0035635D" w:rsidP="00C45F16">
      <w:pPr>
        <w:pStyle w:val="ListParagraph"/>
        <w:numPr>
          <w:ilvl w:val="1"/>
          <w:numId w:val="20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confusion matrices reveal that the models have very few misclassifications:</w:t>
      </w:r>
    </w:p>
    <w:p w14:paraId="73A094B1" w14:textId="77777777" w:rsidR="0035635D" w:rsidRPr="0035635D" w:rsidRDefault="0035635D" w:rsidP="00C45F16">
      <w:pPr>
        <w:numPr>
          <w:ilvl w:val="1"/>
          <w:numId w:val="21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 xml:space="preserve">For example, in the </w:t>
      </w:r>
      <w:proofErr w:type="spellStart"/>
      <w:r w:rsidRPr="0035635D">
        <w:rPr>
          <w:color w:val="222A35" w:themeColor="text2" w:themeShade="80"/>
          <w:sz w:val="24"/>
          <w:szCs w:val="24"/>
        </w:rPr>
        <w:t>XGBoost</w:t>
      </w:r>
      <w:proofErr w:type="spellEnd"/>
      <w:r w:rsidRPr="0035635D">
        <w:rPr>
          <w:color w:val="222A35" w:themeColor="text2" w:themeShade="80"/>
          <w:sz w:val="24"/>
          <w:szCs w:val="24"/>
        </w:rPr>
        <w:t xml:space="preserve"> model, only 1 bank was incorrectly classified as defunct while it was stable.</w:t>
      </w:r>
    </w:p>
    <w:p w14:paraId="727533DF" w14:textId="77777777" w:rsidR="0035635D" w:rsidRPr="0035635D" w:rsidRDefault="0035635D" w:rsidP="00C45F16">
      <w:pPr>
        <w:numPr>
          <w:ilvl w:val="1"/>
          <w:numId w:val="21"/>
        </w:num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This low number of false positives and false negatives highlights the models' effectiveness in distinguishing between stable and defunct banks.</w:t>
      </w:r>
    </w:p>
    <w:p w14:paraId="478C69F4" w14:textId="2609ED91" w:rsidR="00AE422A" w:rsidRDefault="00000000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color w:val="222A35" w:themeColor="text2" w:themeShade="80"/>
          <w:sz w:val="24"/>
          <w:szCs w:val="24"/>
        </w:rPr>
        <w:pict w14:anchorId="28D7328F">
          <v:rect id="_x0000_i1033" style="width:0;height:0" o:hralign="center" o:hrstd="t" o:hrnoshade="t" o:hr="t" fillcolor="#374151" stroked="f"/>
        </w:pict>
      </w:r>
    </w:p>
    <w:p w14:paraId="419194A2" w14:textId="77777777" w:rsidR="00BF38A8" w:rsidRDefault="00BF38A8" w:rsidP="00C45F16">
      <w:pPr>
        <w:jc w:val="both"/>
        <w:rPr>
          <w:color w:val="222A35" w:themeColor="text2" w:themeShade="80"/>
          <w:sz w:val="24"/>
          <w:szCs w:val="24"/>
        </w:rPr>
      </w:pPr>
    </w:p>
    <w:p w14:paraId="28CAC506" w14:textId="395EEF63" w:rsidR="00BF38A8" w:rsidRPr="000E048F" w:rsidRDefault="00BF38A8" w:rsidP="00C45F16">
      <w:pPr>
        <w:jc w:val="both"/>
        <w:rPr>
          <w:color w:val="1F4E79" w:themeColor="accent5" w:themeShade="80"/>
          <w:sz w:val="36"/>
          <w:szCs w:val="36"/>
          <w:u w:val="single"/>
        </w:rPr>
      </w:pPr>
      <w:r w:rsidRPr="000E048F">
        <w:rPr>
          <w:color w:val="1F4E79" w:themeColor="accent5" w:themeShade="80"/>
          <w:sz w:val="36"/>
          <w:szCs w:val="36"/>
          <w:u w:val="single"/>
        </w:rPr>
        <w:t>Model Deployment</w:t>
      </w:r>
    </w:p>
    <w:p w14:paraId="0345099B" w14:textId="2CF21974" w:rsidR="00BF38A8" w:rsidRDefault="00175166" w:rsidP="00C45F16">
      <w:pPr>
        <w:jc w:val="both"/>
        <w:rPr>
          <w:color w:val="222A35" w:themeColor="text2" w:themeShade="80"/>
          <w:sz w:val="28"/>
          <w:szCs w:val="28"/>
        </w:rPr>
      </w:pPr>
      <w:r w:rsidRPr="00175166">
        <w:rPr>
          <w:color w:val="222A35" w:themeColor="text2" w:themeShade="80"/>
          <w:sz w:val="28"/>
          <w:szCs w:val="28"/>
        </w:rPr>
        <w:t xml:space="preserve">This project introduces a dynamic, user-friendly </w:t>
      </w:r>
      <w:proofErr w:type="spellStart"/>
      <w:r w:rsidRPr="00175166">
        <w:rPr>
          <w:color w:val="222A35" w:themeColor="text2" w:themeShade="80"/>
          <w:sz w:val="28"/>
          <w:szCs w:val="28"/>
        </w:rPr>
        <w:t>Streamlit</w:t>
      </w:r>
      <w:proofErr w:type="spellEnd"/>
      <w:r w:rsidRPr="00175166">
        <w:rPr>
          <w:color w:val="222A35" w:themeColor="text2" w:themeShade="80"/>
          <w:sz w:val="28"/>
          <w:szCs w:val="28"/>
        </w:rPr>
        <w:t xml:space="preserve"> application designed to transform the way financial professionals evaluate and predict bank stability. By leveraging advanced machine learning techniques and an intuitive interface, the app enables users to:</w:t>
      </w:r>
    </w:p>
    <w:p w14:paraId="1A24BCE3" w14:textId="77777777" w:rsidR="0087664E" w:rsidRDefault="0087664E" w:rsidP="00C45F16">
      <w:pPr>
        <w:jc w:val="both"/>
        <w:rPr>
          <w:color w:val="222A35" w:themeColor="text2" w:themeShade="80"/>
          <w:sz w:val="28"/>
          <w:szCs w:val="28"/>
        </w:rPr>
      </w:pPr>
    </w:p>
    <w:p w14:paraId="62A06FAC" w14:textId="7C5C3B49" w:rsidR="00175166" w:rsidRDefault="00175166" w:rsidP="00C45F16">
      <w:pPr>
        <w:jc w:val="both"/>
        <w:rPr>
          <w:color w:val="222A35" w:themeColor="text2" w:themeShade="80"/>
          <w:sz w:val="28"/>
          <w:szCs w:val="28"/>
        </w:rPr>
      </w:pPr>
      <w:r w:rsidRPr="00175166">
        <w:rPr>
          <w:noProof/>
          <w:color w:val="222A35" w:themeColor="text2" w:themeShade="80"/>
          <w:sz w:val="28"/>
          <w:szCs w:val="28"/>
        </w:rPr>
        <w:drawing>
          <wp:inline distT="0" distB="0" distL="0" distR="0" wp14:anchorId="795B64E4" wp14:editId="2CEB2EEB">
            <wp:extent cx="5730646" cy="2639291"/>
            <wp:effectExtent l="0" t="0" r="3810" b="8890"/>
            <wp:docPr id="18207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3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5210" cy="26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43C2" w14:textId="77777777" w:rsidR="00175166" w:rsidRDefault="00175166" w:rsidP="00C45F16">
      <w:pPr>
        <w:jc w:val="both"/>
        <w:rPr>
          <w:color w:val="222A35" w:themeColor="text2" w:themeShade="80"/>
          <w:sz w:val="28"/>
          <w:szCs w:val="28"/>
        </w:rPr>
      </w:pPr>
    </w:p>
    <w:p w14:paraId="5927004A" w14:textId="27A366C4" w:rsidR="00175166" w:rsidRPr="00E457F1" w:rsidRDefault="00175166" w:rsidP="00C45F16">
      <w:pPr>
        <w:jc w:val="both"/>
        <w:rPr>
          <w:color w:val="1F4E79" w:themeColor="accent5" w:themeShade="80"/>
          <w:sz w:val="28"/>
          <w:szCs w:val="28"/>
          <w:u w:val="single"/>
        </w:rPr>
      </w:pPr>
      <w:r w:rsidRPr="00E457F1">
        <w:rPr>
          <w:color w:val="1F4E79" w:themeColor="accent5" w:themeShade="80"/>
          <w:sz w:val="28"/>
          <w:szCs w:val="28"/>
          <w:u w:val="single"/>
        </w:rPr>
        <w:lastRenderedPageBreak/>
        <w:t>Upload And Explore</w:t>
      </w:r>
    </w:p>
    <w:p w14:paraId="0D841A97" w14:textId="77777777" w:rsidR="00175166" w:rsidRPr="00175166" w:rsidRDefault="00175166" w:rsidP="00175166">
      <w:pPr>
        <w:jc w:val="both"/>
        <w:rPr>
          <w:sz w:val="24"/>
          <w:szCs w:val="24"/>
        </w:rPr>
      </w:pPr>
      <w:r w:rsidRPr="00175166">
        <w:rPr>
          <w:sz w:val="24"/>
          <w:szCs w:val="24"/>
        </w:rPr>
        <w:t>Quickly explore financial data with features like summary statistics, missing value analysis, and heatmaps for correlation insights.</w:t>
      </w:r>
    </w:p>
    <w:p w14:paraId="5B26C0BE" w14:textId="629EC43E" w:rsidR="00175166" w:rsidRDefault="00175166" w:rsidP="00175166">
      <w:pPr>
        <w:jc w:val="both"/>
        <w:rPr>
          <w:sz w:val="24"/>
          <w:szCs w:val="24"/>
        </w:rPr>
      </w:pPr>
      <w:r w:rsidRPr="00175166">
        <w:rPr>
          <w:noProof/>
          <w:sz w:val="24"/>
          <w:szCs w:val="24"/>
        </w:rPr>
        <w:drawing>
          <wp:inline distT="0" distB="0" distL="0" distR="0" wp14:anchorId="7FDB69D1" wp14:editId="09CE6683">
            <wp:extent cx="5730352" cy="1948543"/>
            <wp:effectExtent l="0" t="0" r="3810" b="0"/>
            <wp:docPr id="136697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70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510" cy="19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606" w14:textId="4D894A85" w:rsidR="00175166" w:rsidRDefault="00175166" w:rsidP="00175166">
      <w:pPr>
        <w:jc w:val="both"/>
        <w:rPr>
          <w:sz w:val="24"/>
          <w:szCs w:val="24"/>
        </w:rPr>
      </w:pPr>
      <w:r w:rsidRPr="00175166">
        <w:rPr>
          <w:noProof/>
          <w:sz w:val="24"/>
          <w:szCs w:val="24"/>
        </w:rPr>
        <w:drawing>
          <wp:inline distT="0" distB="0" distL="0" distR="0" wp14:anchorId="26FCA12A" wp14:editId="0A66B818">
            <wp:extent cx="5731510" cy="2547257"/>
            <wp:effectExtent l="0" t="0" r="2540" b="5715"/>
            <wp:docPr id="106829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9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132" cy="25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C00D" w14:textId="05E322AD" w:rsidR="00175166" w:rsidRPr="0087664E" w:rsidRDefault="00175166" w:rsidP="00C45F16">
      <w:pPr>
        <w:jc w:val="both"/>
        <w:rPr>
          <w:sz w:val="24"/>
          <w:szCs w:val="24"/>
        </w:rPr>
      </w:pPr>
      <w:r w:rsidRPr="00175166">
        <w:rPr>
          <w:noProof/>
          <w:sz w:val="24"/>
          <w:szCs w:val="24"/>
        </w:rPr>
        <w:drawing>
          <wp:inline distT="0" distB="0" distL="0" distR="0" wp14:anchorId="5C460B8E" wp14:editId="6B891B24">
            <wp:extent cx="5731510" cy="2632364"/>
            <wp:effectExtent l="0" t="0" r="2540" b="0"/>
            <wp:docPr id="36114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48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081" cy="26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0805" w14:textId="77777777" w:rsidR="004E4193" w:rsidRDefault="004E4193" w:rsidP="004E4193">
      <w:pPr>
        <w:jc w:val="both"/>
        <w:rPr>
          <w:sz w:val="24"/>
          <w:szCs w:val="24"/>
        </w:rPr>
      </w:pPr>
      <w:r w:rsidRPr="00E457F1">
        <w:rPr>
          <w:color w:val="1F4E79" w:themeColor="accent5" w:themeShade="80"/>
          <w:sz w:val="28"/>
          <w:szCs w:val="28"/>
          <w:u w:val="single"/>
        </w:rPr>
        <w:t>Predict Bank Stability</w:t>
      </w:r>
      <w:r w:rsidRPr="00E457F1">
        <w:rPr>
          <w:color w:val="1F4E79" w:themeColor="accent5" w:themeShade="80"/>
          <w:sz w:val="24"/>
          <w:szCs w:val="24"/>
        </w:rPr>
        <w:t xml:space="preserve">: </w:t>
      </w:r>
      <w:r w:rsidRPr="00175166">
        <w:rPr>
          <w:sz w:val="24"/>
          <w:szCs w:val="24"/>
        </w:rPr>
        <w:t xml:space="preserve">Train an </w:t>
      </w:r>
      <w:proofErr w:type="spellStart"/>
      <w:r w:rsidRPr="00175166">
        <w:rPr>
          <w:sz w:val="24"/>
          <w:szCs w:val="24"/>
        </w:rPr>
        <w:t>XGBoost</w:t>
      </w:r>
      <w:proofErr w:type="spellEnd"/>
      <w:r w:rsidRPr="00175166">
        <w:rPr>
          <w:sz w:val="24"/>
          <w:szCs w:val="24"/>
        </w:rPr>
        <w:t xml:space="preserve"> classifier and make real-time predictions with custom inputs for informed decision-making</w:t>
      </w:r>
    </w:p>
    <w:p w14:paraId="5B3494A3" w14:textId="4ED6102C" w:rsidR="00BF38A8" w:rsidRDefault="004E4193" w:rsidP="00C45F16">
      <w:pPr>
        <w:jc w:val="both"/>
        <w:rPr>
          <w:color w:val="222A35" w:themeColor="text2" w:themeShade="80"/>
          <w:sz w:val="24"/>
          <w:szCs w:val="24"/>
        </w:rPr>
      </w:pPr>
      <w:r w:rsidRPr="004E4193">
        <w:rPr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05374619" wp14:editId="3509D617">
            <wp:extent cx="5731510" cy="2674620"/>
            <wp:effectExtent l="0" t="0" r="2540" b="0"/>
            <wp:docPr id="158494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4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7A7" w14:textId="1BA627EE" w:rsidR="004E4193" w:rsidRPr="00E457F1" w:rsidRDefault="004E4193" w:rsidP="00C45F16">
      <w:pPr>
        <w:jc w:val="both"/>
        <w:rPr>
          <w:color w:val="1F4E79" w:themeColor="accent5" w:themeShade="80"/>
          <w:sz w:val="24"/>
          <w:szCs w:val="24"/>
          <w:u w:val="single"/>
        </w:rPr>
      </w:pPr>
      <w:r w:rsidRPr="00E457F1">
        <w:rPr>
          <w:color w:val="1F4E79" w:themeColor="accent5" w:themeShade="80"/>
          <w:sz w:val="24"/>
          <w:szCs w:val="24"/>
          <w:u w:val="single"/>
        </w:rPr>
        <w:t>Make Prediction</w:t>
      </w:r>
    </w:p>
    <w:p w14:paraId="24DB5953" w14:textId="7984CF5F" w:rsidR="004E4193" w:rsidRDefault="004E4193" w:rsidP="00C45F16">
      <w:pPr>
        <w:jc w:val="both"/>
        <w:rPr>
          <w:color w:val="2E74B5" w:themeColor="accent5" w:themeShade="BF"/>
          <w:sz w:val="24"/>
          <w:szCs w:val="24"/>
          <w:u w:val="single"/>
        </w:rPr>
      </w:pPr>
      <w:r w:rsidRPr="004E4193">
        <w:rPr>
          <w:noProof/>
          <w:color w:val="2E74B5" w:themeColor="accent5" w:themeShade="BF"/>
          <w:sz w:val="24"/>
          <w:szCs w:val="24"/>
          <w:u w:val="single"/>
        </w:rPr>
        <w:drawing>
          <wp:inline distT="0" distB="0" distL="0" distR="0" wp14:anchorId="77145DCE" wp14:editId="6E879EFC">
            <wp:extent cx="5731510" cy="2513330"/>
            <wp:effectExtent l="0" t="0" r="2540" b="1270"/>
            <wp:docPr id="45196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7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3F4B" w14:textId="217D813C" w:rsidR="0087664E" w:rsidRPr="00E457F1" w:rsidRDefault="0087664E" w:rsidP="00C45F16">
      <w:pPr>
        <w:jc w:val="both"/>
        <w:rPr>
          <w:color w:val="1F4E79" w:themeColor="accent5" w:themeShade="80"/>
          <w:sz w:val="24"/>
          <w:szCs w:val="24"/>
          <w:u w:val="single"/>
        </w:rPr>
      </w:pPr>
      <w:r w:rsidRPr="00E457F1">
        <w:rPr>
          <w:color w:val="1F4E79" w:themeColor="accent5" w:themeShade="80"/>
          <w:sz w:val="24"/>
          <w:szCs w:val="24"/>
          <w:u w:val="single"/>
        </w:rPr>
        <w:t>About:</w:t>
      </w:r>
    </w:p>
    <w:p w14:paraId="5F9B075B" w14:textId="18735F3E" w:rsidR="0087664E" w:rsidRPr="004E4193" w:rsidRDefault="0087664E" w:rsidP="00C45F16">
      <w:pPr>
        <w:jc w:val="both"/>
        <w:rPr>
          <w:color w:val="2E74B5" w:themeColor="accent5" w:themeShade="BF"/>
          <w:sz w:val="24"/>
          <w:szCs w:val="24"/>
          <w:u w:val="single"/>
        </w:rPr>
      </w:pPr>
      <w:r w:rsidRPr="0087664E">
        <w:rPr>
          <w:noProof/>
          <w:color w:val="2E74B5" w:themeColor="accent5" w:themeShade="BF"/>
          <w:sz w:val="24"/>
          <w:szCs w:val="24"/>
          <w:u w:val="single"/>
        </w:rPr>
        <w:drawing>
          <wp:inline distT="0" distB="0" distL="0" distR="0" wp14:anchorId="1D197BAF" wp14:editId="7EE4A76D">
            <wp:extent cx="5731510" cy="2654935"/>
            <wp:effectExtent l="0" t="0" r="2540" b="0"/>
            <wp:docPr id="209750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7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A2C7" w14:textId="77777777" w:rsidR="004E4193" w:rsidRDefault="004E4193" w:rsidP="00C45F16">
      <w:pPr>
        <w:ind w:left="3600"/>
        <w:jc w:val="both"/>
        <w:rPr>
          <w:color w:val="222A35" w:themeColor="text2" w:themeShade="80"/>
          <w:sz w:val="36"/>
          <w:szCs w:val="36"/>
          <w:u w:val="single"/>
        </w:rPr>
      </w:pPr>
    </w:p>
    <w:p w14:paraId="27DB9F7C" w14:textId="63EB1392" w:rsidR="006B12C1" w:rsidRPr="000E048F" w:rsidRDefault="0035635D" w:rsidP="00C45F16">
      <w:pPr>
        <w:ind w:left="3600"/>
        <w:jc w:val="both"/>
        <w:rPr>
          <w:color w:val="1F4E79" w:themeColor="accent5" w:themeShade="80"/>
          <w:sz w:val="36"/>
          <w:szCs w:val="36"/>
          <w:u w:val="single"/>
        </w:rPr>
      </w:pPr>
      <w:r w:rsidRPr="000E048F">
        <w:rPr>
          <w:color w:val="1F4E79" w:themeColor="accent5" w:themeShade="80"/>
          <w:sz w:val="36"/>
          <w:szCs w:val="36"/>
          <w:u w:val="single"/>
        </w:rPr>
        <w:t>Dashboard</w:t>
      </w:r>
    </w:p>
    <w:p w14:paraId="2DFF6B54" w14:textId="3AC54DB5" w:rsidR="000E048F" w:rsidRDefault="0035635D" w:rsidP="00C45F16">
      <w:pPr>
        <w:jc w:val="both"/>
        <w:rPr>
          <w:color w:val="222A35" w:themeColor="text2" w:themeShade="80"/>
          <w:sz w:val="24"/>
          <w:szCs w:val="24"/>
        </w:rPr>
      </w:pPr>
      <w:r w:rsidRPr="0035635D">
        <w:rPr>
          <w:color w:val="222A35" w:themeColor="text2" w:themeShade="80"/>
          <w:sz w:val="24"/>
          <w:szCs w:val="24"/>
        </w:rPr>
        <w:t>The dashboard created for the Bank Stability Analysis project serves as a visual representation of key financial metrics and insights related to bank stability. It provides stakeholders with an interactive tool to monitor and analy</w:t>
      </w:r>
      <w:r>
        <w:rPr>
          <w:color w:val="222A35" w:themeColor="text2" w:themeShade="80"/>
          <w:sz w:val="24"/>
          <w:szCs w:val="24"/>
        </w:rPr>
        <w:t>s</w:t>
      </w:r>
      <w:r w:rsidRPr="0035635D">
        <w:rPr>
          <w:color w:val="222A35" w:themeColor="text2" w:themeShade="80"/>
          <w:sz w:val="24"/>
          <w:szCs w:val="24"/>
        </w:rPr>
        <w:t>e the health of banks based on various financial indicators.</w:t>
      </w:r>
    </w:p>
    <w:p w14:paraId="4467F1B5" w14:textId="62B093EE" w:rsidR="000E048F" w:rsidRDefault="000E048F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noProof/>
        </w:rPr>
        <w:drawing>
          <wp:inline distT="0" distB="0" distL="0" distR="0" wp14:anchorId="2B27EFDF" wp14:editId="23C7A709">
            <wp:extent cx="5731510" cy="3169920"/>
            <wp:effectExtent l="0" t="0" r="2540" b="0"/>
            <wp:docPr id="42901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982A" w14:textId="7C5B5899" w:rsidR="000E048F" w:rsidRDefault="000E048F" w:rsidP="00C45F16">
      <w:pPr>
        <w:jc w:val="both"/>
        <w:rPr>
          <w:color w:val="222A35" w:themeColor="text2" w:themeShade="80"/>
          <w:sz w:val="24"/>
          <w:szCs w:val="24"/>
        </w:rPr>
      </w:pPr>
      <w:r>
        <w:rPr>
          <w:noProof/>
        </w:rPr>
        <w:drawing>
          <wp:inline distT="0" distB="0" distL="0" distR="0" wp14:anchorId="5762E183" wp14:editId="7F6CEF78">
            <wp:extent cx="5730718" cy="3560618"/>
            <wp:effectExtent l="0" t="0" r="3810" b="1905"/>
            <wp:docPr id="83375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18" cy="35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77D2" w14:textId="51D20A2E" w:rsidR="00331105" w:rsidRDefault="00331105" w:rsidP="00C45F16">
      <w:pPr>
        <w:jc w:val="both"/>
        <w:rPr>
          <w:color w:val="222A35" w:themeColor="text2" w:themeShade="80"/>
          <w:sz w:val="36"/>
          <w:szCs w:val="36"/>
        </w:rPr>
      </w:pPr>
    </w:p>
    <w:p w14:paraId="32C783ED" w14:textId="457EE83E" w:rsidR="00331105" w:rsidRDefault="000E048F" w:rsidP="00C45F16">
      <w:pPr>
        <w:jc w:val="both"/>
        <w:rPr>
          <w:color w:val="222A35" w:themeColor="text2" w:themeShade="80"/>
          <w:sz w:val="36"/>
          <w:szCs w:val="36"/>
        </w:rPr>
      </w:pPr>
      <w:r>
        <w:rPr>
          <w:noProof/>
        </w:rPr>
        <w:drawing>
          <wp:inline distT="0" distB="0" distL="0" distR="0" wp14:anchorId="2CAB4315" wp14:editId="7B777C8C">
            <wp:extent cx="5731510" cy="3574415"/>
            <wp:effectExtent l="0" t="0" r="2540" b="6985"/>
            <wp:docPr id="756980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75CC" w14:textId="252FD535" w:rsidR="00331105" w:rsidRDefault="000E048F" w:rsidP="00C45F16">
      <w:pPr>
        <w:jc w:val="both"/>
        <w:rPr>
          <w:color w:val="222A35" w:themeColor="text2" w:themeShade="80"/>
          <w:sz w:val="36"/>
          <w:szCs w:val="36"/>
        </w:rPr>
      </w:pPr>
      <w:r>
        <w:rPr>
          <w:noProof/>
        </w:rPr>
        <w:drawing>
          <wp:inline distT="0" distB="0" distL="0" distR="0" wp14:anchorId="3E60BB23" wp14:editId="5E73F070">
            <wp:extent cx="5731510" cy="3310890"/>
            <wp:effectExtent l="0" t="0" r="2540" b="3810"/>
            <wp:docPr id="720848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F8DC" w14:textId="5EACEFE2" w:rsidR="00331105" w:rsidRPr="00C45F16" w:rsidRDefault="00C45F16" w:rsidP="00C45F16">
      <w:pPr>
        <w:jc w:val="both"/>
        <w:rPr>
          <w:color w:val="222A35" w:themeColor="text2" w:themeShade="80"/>
          <w:sz w:val="36"/>
          <w:szCs w:val="36"/>
          <w:u w:val="single"/>
        </w:rPr>
      </w:pPr>
      <w:r w:rsidRPr="00C45F16">
        <w:rPr>
          <w:color w:val="222A35" w:themeColor="text2" w:themeShade="80"/>
          <w:sz w:val="36"/>
          <w:szCs w:val="36"/>
          <w:u w:val="single"/>
        </w:rPr>
        <w:t>Conclusion</w:t>
      </w:r>
    </w:p>
    <w:p w14:paraId="61C9EDF8" w14:textId="74C63E0A" w:rsidR="00C45F16" w:rsidRPr="00C45F16" w:rsidRDefault="00C45F16" w:rsidP="00C45F16">
      <w:pPr>
        <w:jc w:val="both"/>
        <w:rPr>
          <w:color w:val="222A35" w:themeColor="text2" w:themeShade="80"/>
          <w:sz w:val="24"/>
          <w:szCs w:val="24"/>
        </w:rPr>
      </w:pPr>
      <w:r w:rsidRPr="00C45F16">
        <w:rPr>
          <w:color w:val="222A35" w:themeColor="text2" w:themeShade="80"/>
          <w:sz w:val="24"/>
          <w:szCs w:val="24"/>
        </w:rPr>
        <w:t>The Bank Stability Analysis project underscores the critical importance of financial health in the banking sector. By leveraging data-driven insights and predictive mode</w:t>
      </w:r>
      <w:r>
        <w:rPr>
          <w:color w:val="222A35" w:themeColor="text2" w:themeShade="80"/>
          <w:sz w:val="24"/>
          <w:szCs w:val="24"/>
        </w:rPr>
        <w:t>l</w:t>
      </w:r>
      <w:r w:rsidRPr="00C45F16">
        <w:rPr>
          <w:color w:val="222A35" w:themeColor="text2" w:themeShade="80"/>
          <w:sz w:val="24"/>
          <w:szCs w:val="24"/>
        </w:rPr>
        <w:t>ling, stakeholders can better understand the dynamics of bank stability and implement effective measures to safeguard against potential failures.</w:t>
      </w:r>
    </w:p>
    <w:sectPr w:rsidR="00C45F16" w:rsidRPr="00C45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B1543"/>
    <w:multiLevelType w:val="multilevel"/>
    <w:tmpl w:val="B06E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206631"/>
    <w:multiLevelType w:val="multilevel"/>
    <w:tmpl w:val="0EC2AC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D9633C"/>
    <w:multiLevelType w:val="multilevel"/>
    <w:tmpl w:val="08A6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CE1F50"/>
    <w:multiLevelType w:val="multilevel"/>
    <w:tmpl w:val="033A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603F83"/>
    <w:multiLevelType w:val="multilevel"/>
    <w:tmpl w:val="94227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912EC8"/>
    <w:multiLevelType w:val="multilevel"/>
    <w:tmpl w:val="B7CE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3D7438"/>
    <w:multiLevelType w:val="multilevel"/>
    <w:tmpl w:val="CA2C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1F2E20"/>
    <w:multiLevelType w:val="multilevel"/>
    <w:tmpl w:val="85C8CE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386891"/>
    <w:multiLevelType w:val="multilevel"/>
    <w:tmpl w:val="08A6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734B1D"/>
    <w:multiLevelType w:val="multilevel"/>
    <w:tmpl w:val="DC7C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92075E"/>
    <w:multiLevelType w:val="hybridMultilevel"/>
    <w:tmpl w:val="8FBCB3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DF02B2"/>
    <w:multiLevelType w:val="multilevel"/>
    <w:tmpl w:val="06AA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0B022A"/>
    <w:multiLevelType w:val="multilevel"/>
    <w:tmpl w:val="5886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9C6178"/>
    <w:multiLevelType w:val="multilevel"/>
    <w:tmpl w:val="0EC2AC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595B18"/>
    <w:multiLevelType w:val="multilevel"/>
    <w:tmpl w:val="08A6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08E668D"/>
    <w:multiLevelType w:val="multilevel"/>
    <w:tmpl w:val="DE22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1097482"/>
    <w:multiLevelType w:val="multilevel"/>
    <w:tmpl w:val="CC9E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DFE6A63"/>
    <w:multiLevelType w:val="multilevel"/>
    <w:tmpl w:val="51D6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1B758D7"/>
    <w:multiLevelType w:val="multilevel"/>
    <w:tmpl w:val="1572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2544244"/>
    <w:multiLevelType w:val="multilevel"/>
    <w:tmpl w:val="F4FAC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C83562"/>
    <w:multiLevelType w:val="multilevel"/>
    <w:tmpl w:val="792A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DB5B77"/>
    <w:multiLevelType w:val="multilevel"/>
    <w:tmpl w:val="6EBA6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C4B2B2D"/>
    <w:multiLevelType w:val="multilevel"/>
    <w:tmpl w:val="28DA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EFD1507"/>
    <w:multiLevelType w:val="multilevel"/>
    <w:tmpl w:val="A3D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9892808">
    <w:abstractNumId w:val="19"/>
  </w:num>
  <w:num w:numId="2" w16cid:durableId="134957979">
    <w:abstractNumId w:val="23"/>
  </w:num>
  <w:num w:numId="3" w16cid:durableId="995691891">
    <w:abstractNumId w:val="18"/>
  </w:num>
  <w:num w:numId="4" w16cid:durableId="780803854">
    <w:abstractNumId w:val="15"/>
  </w:num>
  <w:num w:numId="5" w16cid:durableId="1380858422">
    <w:abstractNumId w:val="6"/>
  </w:num>
  <w:num w:numId="6" w16cid:durableId="282924855">
    <w:abstractNumId w:val="21"/>
  </w:num>
  <w:num w:numId="7" w16cid:durableId="1672098438">
    <w:abstractNumId w:val="16"/>
  </w:num>
  <w:num w:numId="8" w16cid:durableId="730931477">
    <w:abstractNumId w:val="10"/>
  </w:num>
  <w:num w:numId="9" w16cid:durableId="474228166">
    <w:abstractNumId w:val="1"/>
  </w:num>
  <w:num w:numId="10" w16cid:durableId="536084712">
    <w:abstractNumId w:val="11"/>
  </w:num>
  <w:num w:numId="11" w16cid:durableId="1610772310">
    <w:abstractNumId w:val="0"/>
  </w:num>
  <w:num w:numId="12" w16cid:durableId="1899365924">
    <w:abstractNumId w:val="20"/>
  </w:num>
  <w:num w:numId="13" w16cid:durableId="328797126">
    <w:abstractNumId w:val="12"/>
  </w:num>
  <w:num w:numId="14" w16cid:durableId="2079472670">
    <w:abstractNumId w:val="17"/>
  </w:num>
  <w:num w:numId="15" w16cid:durableId="67268441">
    <w:abstractNumId w:val="22"/>
  </w:num>
  <w:num w:numId="16" w16cid:durableId="423459773">
    <w:abstractNumId w:val="13"/>
  </w:num>
  <w:num w:numId="17" w16cid:durableId="1297881751">
    <w:abstractNumId w:val="3"/>
  </w:num>
  <w:num w:numId="18" w16cid:durableId="1252667689">
    <w:abstractNumId w:val="5"/>
  </w:num>
  <w:num w:numId="19" w16cid:durableId="510533048">
    <w:abstractNumId w:val="9"/>
  </w:num>
  <w:num w:numId="20" w16cid:durableId="554393023">
    <w:abstractNumId w:val="14"/>
  </w:num>
  <w:num w:numId="21" w16cid:durableId="587618820">
    <w:abstractNumId w:val="7"/>
  </w:num>
  <w:num w:numId="22" w16cid:durableId="1138112588">
    <w:abstractNumId w:val="4"/>
  </w:num>
  <w:num w:numId="23" w16cid:durableId="832529582">
    <w:abstractNumId w:val="2"/>
  </w:num>
  <w:num w:numId="24" w16cid:durableId="10879174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2C1"/>
    <w:rsid w:val="000E048F"/>
    <w:rsid w:val="00175166"/>
    <w:rsid w:val="001919D7"/>
    <w:rsid w:val="00331105"/>
    <w:rsid w:val="003548EB"/>
    <w:rsid w:val="0035635D"/>
    <w:rsid w:val="004E4193"/>
    <w:rsid w:val="006B12C1"/>
    <w:rsid w:val="00734D98"/>
    <w:rsid w:val="0087664E"/>
    <w:rsid w:val="008F2CA3"/>
    <w:rsid w:val="009F5E19"/>
    <w:rsid w:val="00A66DC9"/>
    <w:rsid w:val="00AE422A"/>
    <w:rsid w:val="00BF38A8"/>
    <w:rsid w:val="00C45F16"/>
    <w:rsid w:val="00C7255B"/>
    <w:rsid w:val="00E457F1"/>
    <w:rsid w:val="00EC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B304D"/>
  <w15:chartTrackingRefBased/>
  <w15:docId w15:val="{F633FC05-7A3F-4D44-A828-AFC5E899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2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56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258063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70608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264264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43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44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48700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60591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779251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48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Mohapatra</dc:creator>
  <cp:keywords/>
  <dc:description/>
  <cp:lastModifiedBy>Priyanka Mohapatra</cp:lastModifiedBy>
  <cp:revision>8</cp:revision>
  <dcterms:created xsi:type="dcterms:W3CDTF">2024-12-25T06:17:00Z</dcterms:created>
  <dcterms:modified xsi:type="dcterms:W3CDTF">2024-12-25T14:05:00Z</dcterms:modified>
</cp:coreProperties>
</file>