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Analysis of Transaction Frictions in Multi-Asset Global Portfolios: A Framework for High-Fidelity Simulation in US and Indian Markets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theoretical portfolio construction to empirical execution is governed by the inescapable reality of transaction costs. In the contemporary financial landscape, characterized by high-frequency market making and digitized retail participation, these costs have evolved into complex, non-linear functions of asset class, liquidity regime, and regulatory jurisdiction. For a simulation engine like QuantFi, the ability to accurately model these frictions determines the delta between a successful backtest and a failing live strategy. This report provides an exhaustive decomposition of transaction costs across US and Indian markets, focusing on equities, exchange-traded funds (ETFs), and precious metals, while integrating the mathematical models required to simulate these effects dynamically.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Liquidity and Market Microstructure in US Equities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States equity market remains the global benchmark for liquidity, yet its internal architecture is a bifurcated system of on-exchange and off-exchange trading. In 2024 and 2025, off-exchange trading volume, often referred to as "dark" or "internalized" volume, frequently exceeded 50% of the total market share.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structural shift has profound implications for transaction cost estimation. When a retail order is placed on a platform like Robinhood, it is rarely sent to the public limit order book of the NYSE or NASDAQ; instead, it is sold to wholesale market makers like Citadel Securities or Jane Street.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makers earn their revenue primarily through the bid-ask spread—the differential between the price at which they buy and sell. The concentration of this industry is significant; Citadel Securities alone handled approximately 23% of all US cash equities volume and roughly 40% of retail order flow in 2024.</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dominance allows for extremely tight spreads in mega-cap securities, but it also creates a dependency on the market maker's capital commitment during periods of stress. For a simulation engine, understanding that a spread is not a static number but a reflection of a market maker's inventory risk is crucial.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Spread Tiers and Capitalization Dynamics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US, the bid-ask spread is highly sensitive to the market capitalization tier. Mega-cap stocks benefit from a crowded field of competing market makers—sometimes 30 or more firms quoting simultaneously for a single ticker like Apple or Microsoft.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competition drives the spread down to the regulatory minimum tick size of $0.01.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Bid-Ask Spread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Spread in Basis Points (bps)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Maker Competition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Mega-Cap (&gt;$200B)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0.2 - 0.5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(30+ firms)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Mid-Cap ($2B - $10B)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$0.02 - $0.10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5.0 - 15.0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Small-Cap ($250M - $2B)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$0.04 - $0.20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20.0 - 60.0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Micro-Cap (&lt;$250M)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&gt;500.0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dynamic entry/exit signal simulation, the model must account for "volatility-induced widening." During the August 2024 flash crash, spreads in large-cap stocks expanded by a factor of three to ten, while small-cap liquidity nearly evaporated as market makers reduced their quoting obligations to protect their balance sheets.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stocks joining major indices like the NASDAQ-100 experience a "liquidity supercatalyst" effect, where forced institutional buying—such as the $6.96 billion triggered by Palantir’s inclusion in late 2024—temporarily tightens spreads but can increase slippage during the rebalance window.</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Brokerage Fee Structures: Retail vs. Institutional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execution for US equities is further complicated by the divergence in brokerage models. Retail platforms have pioneered the commission-free era, whereas professional-grade platforms offer transparency through tiered pricing that includes exchange rebates and clearing fees.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Brokerage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Commission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Model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Robinhood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Retail / Entry-level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Internalization / PFOF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IBKR (Lite)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Retail / Professional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SmartRouting (No direct control)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IBKR (Pro) - Fixed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Traders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$0.005 /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Market Access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IBKR (Pro) - Tiered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Institutions / Algos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$0.0035 to $0.0005 / share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Volume-based discounts </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QuantFi app, the tiered pricing model of Interactive Brokers (IBKR) serves as the best proxy for institutional-grade simulation. Under this structure, the per-share cost decreases as cumulative monthly volume increases. For instance, the fee drops from $0.0035 for the first 300,000 shares to $0.0005 for volumes exceeding 100 million shares per month.</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these tiered costs are additive with exchange fees; simulation must subtract or add rebates depending on whether the signal "makes" or "takes" liquidity.</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Equity Market: The ELOB and Impact Cost Framework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Indian market, primarily governed by the National Stock Exchange (NSE), operates on a pure Electronic Limit Order Book (ELOB) system. Unlike the US, where market makers provide liquidity, the NSE relies on a consolidated pool of buy and sell orders from all participants.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makes the concept of "Impact Cost" the central metric for transaction friction in India.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cost is defined as the percentage degradation from the ideal price (midpoint of bid and ask) when executing a specific transaction size.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the Nifty 50 index, which represents the 50 largest Indian companies, the liquidity is world-class, but as one moves into the midcap and smallcap segments, the impact cost rises sharply, often acting as a barrier for large-scale institutional rebalancing.</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Index Liquidity and Impact Cost Metrics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NSE regularly reports impact costs for various indices. For a basket size of ₹10 million (approximately $120,000), the Nifty 50 consistently demonstrates high liquidity.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Index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Impact Cost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for Index Inclusion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ADT Representation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Nifty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0.50%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~38% of market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Nifty Midcap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1.0%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 of market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Nifty Smallcap 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0.20% - 0.50%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 of market </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stability of these costs in 2024 and 2025 is noteworthy. While large-cap impact costs remained around 3 basis points, the midcap segment saw a significant expansion in its share of total traded value, rising to 18.8% of the Nifty 500 by late 2025.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suggests that while individual stock impact might be higher in midcaps, the aggregate liquidity of the segment is improving. A simulation engine must also account for the new tick size regime implemented in late 2025, which reduced the minimum price increment for many stocks and options from ₹0.05 to ₹0.01, significantly narrowing the bid-ask spread for lower-priced securities like Wipro.</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Statutory Cost Burden in India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differentiator for the Indian market is the heavy layer of statutory and regulatory taxes. Even with "zero-commission" brokerage, the total friction of a trade in India can be an order of magnitude higher than in the US due to Securities Transaction Tax (STT) and other levies.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 Delivery (Retail)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Equity Intraday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Brokerage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Flat ₹20 or 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 on Buy &amp; Sell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0.025% on Sell 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 Charge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0.00297% (NSE)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0.00297% (NSE)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Stamp Duty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0.015% (Buy)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0.003% (Buy)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SEBI Turnover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per crore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per crore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on (Brokerage + Txn + SEBI)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on (Brokerage + Txn + SEBI)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delivery-based transaction of ₹10,00,000, the total "statutory drag" is approximately ₹1,100 to ₹1,300 per leg of the trade, or about 11 to 13 basis points.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friction necessitates that any signal generated by the QuantFi engine must have an expected alpha significantly higher than this hurdle rate to be viable. Furthermore, sell-side transactions trigger Depository Participant (DP) charges of ₹15.34 per scrip, which penalizes high-frequency rotation of small positions.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Exchange-Traded Funds (ETFs): Convergence of Multi-Layer Liquidity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ETFs present a unique challenge for transaction cost estimation because their liquidity is derived from two sources: the trading volume of the ETF shares themselves and the liquidity of the underlying basket. In both US and Indian markets, the spread of an ETF is often tighter than the weighted average spread of its constituents due to the arbitrage activities of Authorized Participants (APs).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ETF Market: High-Volume Benchmarks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US, ETFs like the Vanguard Total Stock Market (VTI) and the iShares MSCI India (INDA) offer deep liquidity for cross-asset portfolios. The 30-day median spread for these funds is a critical input for simulation.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ETF Ticker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30-Day Median Spread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Premium/Discount to NAV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Total 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-0.01% to +0.03%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S&amp;P 500 Large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0.00% to +0.02%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VBR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Small Cap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Variable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 Large/Mid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Large Cap Yield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key observation from 2024 data is that the premium/discount for liquid US ETFs rarely exceeds 5 basis points, indicating a highly efficient creation/redemption mechanism. However, for niche ETFs like DUBS, a spread of 24 basis points combined with a </w:t>
      </w:r>
      <w:r w:rsidDel="00000000" w:rsidR="00000000" w:rsidRPr="00000000">
        <w:rPr>
          <w:rFonts w:ascii="Google Sans" w:cs="Google Sans" w:eastAsia="Google Sans" w:hAnsi="Google Sans"/>
          <w:color w:val="1f1f1f"/>
        </w:rPr>
        <w:drawing>
          <wp:inline distB="19050" distT="19050" distL="19050" distR="19050">
            <wp:extent cx="481534" cy="217162"/>
            <wp:effectExtent b="0" l="0" r="0" t="0"/>
            <wp:docPr id="2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81534" cy="217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expense ratio creates a much higher barrier for dynamic entry.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 ETF Market: The BeES Phenomenon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India, ETF liquidity is concentrated in a few flagship products. Nippon India’s Nifty BeES and Gold BeES are the most actively traded, offering institutional-grade spreads for retail participants.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Indian ETF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Spread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Expense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Nifty BeES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Nifty 50 Equities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 - 0.05%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0.04% - 0.06%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Gold BeES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Gold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0.79% - 0.80%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Junior BeES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Nifty Next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0.10% - 0.15%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0.15% - 0.25%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Silver BeES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Silver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0.30% - 0.50%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0.50% - 1.00%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Gold BeES ETF, for example, had a bid/ask spread of ₹0.14 on a price of ₹124.58 (approximately 11 bps) as of early 2026.</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this is liquid, the expense ratio of </w:t>
      </w:r>
      <w:r w:rsidDel="00000000" w:rsidR="00000000" w:rsidRPr="00000000">
        <w:rPr>
          <w:rFonts w:ascii="Google Sans" w:cs="Google Sans" w:eastAsia="Google Sans" w:hAnsi="Google Sans"/>
          <w:color w:val="1f1f1f"/>
        </w:rPr>
        <w:drawing>
          <wp:inline distB="19050" distT="19050" distL="19050" distR="19050">
            <wp:extent cx="481534" cy="217162"/>
            <wp:effectExtent b="0" l="0" r="0" t="0"/>
            <wp:docPr id="30"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481534" cy="217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significantly higher than US gold ETFs like IAU (</w:t>
      </w:r>
      <w:r w:rsidDel="00000000" w:rsidR="00000000" w:rsidRPr="00000000">
        <w:rPr>
          <w:rFonts w:ascii="Google Sans" w:cs="Google Sans" w:eastAsia="Google Sans" w:hAnsi="Google Sans"/>
          <w:color w:val="1f1f1f"/>
        </w:rPr>
        <w:drawing>
          <wp:inline distB="19050" distT="19050" distL="19050" distR="19050">
            <wp:extent cx="481534" cy="217162"/>
            <wp:effectExtent b="0" l="0" r="0" t="0"/>
            <wp:docPr id="2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81534" cy="217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the simulation, this implies that Indian investors face a higher "carrying cost" for gold exposure than US investors, which must be reflected in long-term holding simulations.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Precious Metals: Volatility and the Breakdown of the Paper Market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2024–2025 period was transformative for precious metals, with gold surging past $4,000/oz and silver exceeding $70/oz.</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massive price appreciation was accompanied by periods of extreme liquidity dislocation, particularly in the silver market.</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Spot and Futures Liquidity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London Bullion Market Association (LBMA) and COMEX remain the primary venues for price discovery. Under normal conditions, the bid-ask spread for spot gold in London is between 1 and 3 basis points. However, silver—often referred to as a "proxy for gold with an industrial kicker"—exhibits much higher volatility and wider spreads.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Metal Asset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Spread (bps)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Volatility Profile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Gold Spot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LBMA /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1.5 - 3.0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(Safe Haven)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Silver Spot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LBMA /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8.0 - 20.0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(Industrial)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Gold Futures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MCX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Silver Futures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MCX (India)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early 2025, a significant "liquidity event" occurred where silver ETFs like SLV briefly traded at a </w:t>
      </w:r>
      <w:r w:rsidDel="00000000" w:rsidR="00000000" w:rsidRPr="00000000">
        <w:rPr>
          <w:rFonts w:ascii="Google Sans" w:cs="Google Sans" w:eastAsia="Google Sans" w:hAnsi="Google Sans"/>
          <w:color w:val="1f1f1f"/>
        </w:rPr>
        <w:drawing>
          <wp:inline distB="19050" distT="19050" distL="19050" distR="19050">
            <wp:extent cx="389334" cy="218407"/>
            <wp:effectExtent b="0" l="0" r="0" t="0"/>
            <wp:docPr id="3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89334" cy="21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premium to their underlying NAV as authorized participants paused creation/redemption due to volatility in the futures market.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a portfolio simulation, this highlights the "liquidity risk" inherent in commodity ETFs during parabolic price moves. The simulation engine should apply a "volatility multiplier" to spreads whenever daily volatility exceeds a two-standard-deviation threshold.</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Indian Precious Metals: Spot vs. ETF Dynamics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India, the Multi Commodity Exchange (MCX) provides the most liquid futures for gold and silver, while ETFs provide a dematerialized way to hold physical bullion.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Gold BeES (ETF)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MCX Gold (Futures)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MCX Silver (Futures)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Entry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~₹125 (1 unit)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Lakh (10g)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 Lakh (1kg)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Spread (bps)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5.0 - 8.0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15.0 - 20.0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Highest in Commodities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but Volatile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Carry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0.80% 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Roll Yield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Roll Yield</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Silver prices in India are particularly influenced by industrial demand from the electronics and solar sectors, making them more cyclical than gold.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simulation must account for the fact that silver often "sells off harder" when growth expectations wobble, leading to a simultaneous widening of spreads and a drop in price.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Liquidity-Adjusted Cost Models: Mathematical Implementation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QuantFi application to be realistic, it must move beyond static lookup tables for costs. It should implement industry-standard models that adjust the cost based on the size of the order relative to the market's depth and volatility.</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Square Root Law of Market Impact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Square Root Law (SRL) is perhaps the most robust empirical finding in market microstructure. It asserts that the average price impact </w:t>
      </w:r>
      <w:r w:rsidDel="00000000" w:rsidR="00000000" w:rsidRPr="00000000">
        <w:rPr>
          <w:rFonts w:ascii="Google Sans" w:cs="Google Sans" w:eastAsia="Google Sans" w:hAnsi="Google Sans"/>
          <w:color w:val="1f1f1f"/>
        </w:rPr>
        <w:drawing>
          <wp:inline distB="19050" distT="19050" distL="19050" distR="19050">
            <wp:extent cx="95622" cy="229494"/>
            <wp:effectExtent b="0" l="0" r="0" t="0"/>
            <wp:docPr id="31"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95622" cy="229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metaorder (a large order split into child orders) scales with the square root of its volume </w:t>
      </w:r>
      <w:r w:rsidDel="00000000" w:rsidR="00000000" w:rsidRPr="00000000">
        <w:rPr>
          <w:rFonts w:ascii="Google Sans" w:cs="Google Sans" w:eastAsia="Google Sans" w:hAnsi="Google Sans"/>
          <w:color w:val="1f1f1f"/>
        </w:rPr>
        <w:drawing>
          <wp:inline distB="19050" distT="19050" distL="19050" distR="19050">
            <wp:extent cx="145926" cy="233481"/>
            <wp:effectExtent b="0" l="0" r="0" t="0"/>
            <wp:docPr id="34"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45926" cy="233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relative to the daily volume </w:t>
      </w:r>
      <w:r w:rsidDel="00000000" w:rsidR="00000000" w:rsidRPr="00000000">
        <w:rPr>
          <w:rFonts w:ascii="Google Sans" w:cs="Google Sans" w:eastAsia="Google Sans" w:hAnsi="Google Sans"/>
          <w:color w:val="1f1f1f"/>
        </w:rPr>
        <w:drawing>
          <wp:inline distB="19050" distT="19050" distL="19050" distR="19050">
            <wp:extent cx="148456" cy="222684"/>
            <wp:effectExtent b="0" l="0" r="0" t="0"/>
            <wp:docPr id="33"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48456" cy="222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canonical form for the simulation is: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9526"/>
            <wp:effectExtent b="0" l="0" r="0" t="0"/>
            <wp:docPr id="3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905500" cy="51952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3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calibrated coefficient, typically between </w:t>
      </w:r>
      <w:r w:rsidDel="00000000" w:rsidR="00000000" w:rsidRPr="00000000">
        <w:rPr>
          <w:rFonts w:ascii="Google Sans" w:cs="Google Sans" w:eastAsia="Google Sans" w:hAnsi="Google Sans"/>
          <w:color w:val="1f1f1f"/>
        </w:rPr>
        <w:drawing>
          <wp:inline distB="19050" distT="19050" distL="19050" distR="19050">
            <wp:extent cx="235669" cy="216816"/>
            <wp:effectExtent b="0" l="0" r="0" t="0"/>
            <wp:docPr id="39"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35669" cy="216816"/>
            <wp:effectExtent b="0" l="0" r="0" t="0"/>
            <wp:docPr id="37"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235669" cy="216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US equities and slightly higher (</w:t>
      </w:r>
      <w:r w:rsidDel="00000000" w:rsidR="00000000" w:rsidRPr="00000000">
        <w:rPr>
          <w:rFonts w:ascii="Google Sans" w:cs="Google Sans" w:eastAsia="Google Sans" w:hAnsi="Google Sans"/>
          <w:color w:val="1f1f1f"/>
        </w:rPr>
        <w:drawing>
          <wp:inline distB="19050" distT="19050" distL="19050" distR="19050">
            <wp:extent cx="696664" cy="219497"/>
            <wp:effectExtent b="0" l="0" r="0" t="0"/>
            <wp:docPr id="38"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696664" cy="219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emerging markets like India.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11844" cy="223689"/>
            <wp:effectExtent b="0" l="0" r="0" t="0"/>
            <wp:docPr id="40"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111844" cy="2236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Daily volatility of the asset (standard deviation of returns).</w:t>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5926" cy="233481"/>
            <wp:effectExtent b="0" l="0" r="0" t="0"/>
            <wp:docPr id="41"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45926" cy="233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number of shares in the simulation order.</w:t>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48456" cy="222684"/>
            <wp:effectExtent b="0" l="0" r="0" t="0"/>
            <wp:docPr id="4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48456" cy="222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average daily volume (ADV) of the asset.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Extensive research across millions of metaorders on the Tokyo Stock Exchange and US markets has validated that the exponent is nearly exactly </w:t>
      </w:r>
      <w:r w:rsidDel="00000000" w:rsidR="00000000" w:rsidRPr="00000000">
        <w:rPr>
          <w:rFonts w:ascii="Google Sans" w:cs="Google Sans" w:eastAsia="Google Sans" w:hAnsi="Google Sans"/>
          <w:color w:val="1f1f1f"/>
        </w:rPr>
        <w:drawing>
          <wp:inline distB="19050" distT="19050" distL="19050" distR="19050">
            <wp:extent cx="206275" cy="187523"/>
            <wp:effectExtent b="0" l="0" r="0" t="0"/>
            <wp:docPr id="43"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206275" cy="1875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all liquid stocks.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model is essential for the QuantFi engine because it penalizes large trades proportionally more than small trades, preventing the simulation from achieving unrealistic execution prices for large-notional strategies.</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Amihud Illiquidity Ratio</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high-frequency data is unavailable, the Amihud Illiquidity Ratio serves as a powerful proxy for price impact. It measures the absolute return per dollar of volume.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85289"/>
            <wp:effectExtent b="0" l="0" r="0" t="0"/>
            <wp:docPr id="44"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905500" cy="58528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studies indicate that India has one of the highest global mean illiquidity ratios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45"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the US ranges between </w:t>
      </w:r>
      <w:r w:rsidDel="00000000" w:rsidR="00000000" w:rsidRPr="00000000">
        <w:rPr>
          <w:rFonts w:ascii="Google Sans" w:cs="Google Sans" w:eastAsia="Google Sans" w:hAnsi="Google Sans"/>
          <w:color w:val="1f1f1f"/>
        </w:rPr>
        <w:drawing>
          <wp:inline distB="19050" distT="19050" distL="19050" distR="19050">
            <wp:extent cx="481534" cy="217162"/>
            <wp:effectExtent b="0" l="0" r="0" t="0"/>
            <wp:docPr id="46"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481534" cy="217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45864" cy="217495"/>
            <wp:effectExtent b="0" l="0" r="0" t="0"/>
            <wp:docPr id="47" name="image40.png"/>
            <a:graphic>
              <a:graphicData uri="http://schemas.openxmlformats.org/drawingml/2006/picture">
                <pic:pic>
                  <pic:nvPicPr>
                    <pic:cNvPr id="0" name="image40.png"/>
                    <pic:cNvPicPr preferRelativeResize="0"/>
                  </pic:nvPicPr>
                  <pic:blipFill>
                    <a:blip r:embed="rId23"/>
                    <a:srcRect b="0" l="0" r="0" t="0"/>
                    <a:stretch>
                      <a:fillRect/>
                    </a:stretch>
                  </pic:blipFill>
                  <pic:spPr>
                    <a:xfrm>
                      <a:off x="0" y="0"/>
                      <a:ext cx="245864" cy="2174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its illiquidity premium.</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"Amihud Premium" in India is found to be approximately </w:t>
      </w:r>
      <w:r w:rsidDel="00000000" w:rsidR="00000000" w:rsidRPr="00000000">
        <w:rPr>
          <w:rFonts w:ascii="Google Sans" w:cs="Google Sans" w:eastAsia="Google Sans" w:hAnsi="Google Sans"/>
          <w:color w:val="1f1f1f"/>
        </w:rPr>
        <w:drawing>
          <wp:inline distB="19050" distT="19050" distL="19050" distR="19050">
            <wp:extent cx="338063" cy="222156"/>
            <wp:effectExtent b="0" l="0" r="0" t="0"/>
            <wp:docPr id="1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38063" cy="22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annually, suggesting that market illiquidity is a significantly more "priced" component in India than in developed nations.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simulation engine should use the Amihud ratio to rank securities by execution risk, applying a higher "slippage multiplier" to those with high ratios.</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Kyle's Lambda</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Kyle’s Lambda (</w:t>
      </w:r>
      <w:r w:rsidDel="00000000" w:rsidR="00000000" w:rsidRPr="00000000">
        <w:rPr>
          <w:rFonts w:ascii="Google Sans" w:cs="Google Sans" w:eastAsia="Google Sans" w:hAnsi="Google Sans"/>
          <w:color w:val="1f1f1f"/>
        </w:rPr>
        <w:drawing>
          <wp:inline distB="19050" distT="19050" distL="19050" distR="19050">
            <wp:extent cx="107529" cy="234608"/>
            <wp:effectExtent b="0" l="0" r="0" t="0"/>
            <wp:docPr id="1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07529" cy="234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provides a linear approximation of price impact, representing the cost of executing a unit of volume. It is often used in institutional trade scheduling.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368272"/>
            <wp:effectExtent b="0" l="0" r="0" t="0"/>
            <wp:docPr id="2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05500" cy="36827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US, </w:t>
      </w:r>
      <w:r w:rsidDel="00000000" w:rsidR="00000000" w:rsidRPr="00000000">
        <w:rPr>
          <w:rFonts w:ascii="Google Sans" w:cs="Google Sans" w:eastAsia="Google Sans" w:hAnsi="Google Sans"/>
          <w:color w:val="1f1f1f"/>
        </w:rPr>
        <w:drawing>
          <wp:inline distB="19050" distT="19050" distL="19050" distR="19050">
            <wp:extent cx="107529" cy="234608"/>
            <wp:effectExtent b="0" l="0" r="0" t="0"/>
            <wp:docPr id="2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07529" cy="2346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S&amp;P 500 stocks is significantly lower than for non-S&amp;P 500 stocks. Research into NYSE securities between 1993 and 2008 suggests that failing to adjust for non-trading days can lead to an understatement of the illiquidity premium by up to </w:t>
      </w:r>
      <w:r w:rsidDel="00000000" w:rsidR="00000000" w:rsidRPr="00000000">
        <w:rPr>
          <w:rFonts w:ascii="Google Sans" w:cs="Google Sans" w:eastAsia="Google Sans" w:hAnsi="Google Sans"/>
          <w:color w:val="1f1f1f"/>
        </w:rPr>
        <w:drawing>
          <wp:inline distB="19050" distT="19050" distL="19050" distR="19050">
            <wp:extent cx="338063" cy="222156"/>
            <wp:effectExtent b="0" l="0" r="0" t="0"/>
            <wp:docPr id="22"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338063" cy="22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NYSE and </w:t>
      </w:r>
      <w:r w:rsidDel="00000000" w:rsidR="00000000" w:rsidRPr="00000000">
        <w:rPr>
          <w:rFonts w:ascii="Google Sans" w:cs="Google Sans" w:eastAsia="Google Sans" w:hAnsi="Google Sans"/>
          <w:color w:val="1f1f1f"/>
        </w:rPr>
        <w:drawing>
          <wp:inline distB="19050" distT="19050" distL="19050" distR="19050">
            <wp:extent cx="338063" cy="222156"/>
            <wp:effectExtent b="0" l="0" r="0" t="0"/>
            <wp:docPr id="23"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338063" cy="22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NASDAQ.</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simulation engine should incorporate a "thin trading" adjustment factor for small-cap US and Indian stocks to avoid this bias.</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Integrating Costs into the Simulation Workflow</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these findings into the QuantFi app, a tiered logic should be applied to every transaction. The goal is to move from a "Midpoint" price to an "Effective" price.</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1: Baseline Spread Application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must first apply the median bid-ask spread as the minimum cost of execution.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 Asset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Spread Source /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Simulation Constant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Mega-Cap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86941" cy="191294"/>
                  <wp:effectExtent b="0" l="0" r="0" t="0"/>
                  <wp:docPr id="2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86941" cy="1912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color w:val="1f1f1f"/>
                <w:shd w:fill="auto" w:val="clear"/>
              </w:rPr>
              <w:drawing>
                <wp:inline distB="19050" distT="19050" distL="19050" distR="19050">
                  <wp:extent cx="206275" cy="187523"/>
                  <wp:effectExtent b="0" l="0" r="0" t="0"/>
                  <wp:docPr id="25"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206275" cy="1875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132808" cy="209427"/>
                  <wp:effectExtent b="0" l="0" r="0" t="0"/>
                  <wp:docPr id="2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1132808" cy="20942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bps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Mid-Cap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39266" cy="190985"/>
                  <wp:effectExtent b="0" l="0" r="0" t="0"/>
                  <wp:docPr id="27"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439266" cy="19098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054446" cy="208989"/>
                  <wp:effectExtent b="0" l="0" r="0" t="0"/>
                  <wp:docPr id="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1054446" cy="20898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bps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 Nifty 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21333" cy="191515"/>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421333" cy="1915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Impact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007269" cy="209056"/>
                  <wp:effectExtent b="0" l="0" r="0" t="0"/>
                  <wp:docPr id="10"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1007269" cy="20905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bps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 Midcap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21333" cy="191515"/>
                  <wp:effectExtent b="0" l="0" r="0" t="0"/>
                  <wp:docPr id="11"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421333" cy="1915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Impact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054446" cy="208989"/>
                  <wp:effectExtent b="0" l="0" r="0" t="0"/>
                  <wp:docPr id="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1054446" cy="20898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bps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Gold BeES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21333" cy="191515"/>
                  <wp:effectExtent b="0" l="0" r="0" t="0"/>
                  <wp:docPr id="1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21333" cy="19151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Spread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1054446" cy="208989"/>
                  <wp:effectExtent b="0" l="0" r="0" t="0"/>
                  <wp:docPr id="1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1054446" cy="20898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bps </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2: Dynamic Slippage via SRL</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base spread is applied, the engine should calculate slippage using the Square Root Law for any order exceeding </w:t>
      </w:r>
      <w:r w:rsidDel="00000000" w:rsidR="00000000" w:rsidRPr="00000000">
        <w:rPr>
          <w:rFonts w:ascii="Google Sans" w:cs="Google Sans" w:eastAsia="Google Sans" w:hAnsi="Google Sans"/>
          <w:color w:val="1f1f1f"/>
        </w:rPr>
        <w:drawing>
          <wp:inline distB="19050" distT="19050" distL="19050" distR="19050">
            <wp:extent cx="389334" cy="218407"/>
            <wp:effectExtent b="0" l="0" r="0" t="0"/>
            <wp:docPr id="15"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389334" cy="21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Average Daily Volume (ADV).</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For US stocks, use </w:t>
      </w:r>
      <w:r w:rsidDel="00000000" w:rsidR="00000000" w:rsidRPr="00000000">
        <w:rPr>
          <w:rFonts w:ascii="Google Sans" w:cs="Google Sans" w:eastAsia="Google Sans" w:hAnsi="Google Sans"/>
          <w:color w:val="1f1f1f"/>
        </w:rPr>
        <w:drawing>
          <wp:inline distB="19050" distT="19050" distL="19050" distR="19050">
            <wp:extent cx="629618" cy="228952"/>
            <wp:effectExtent b="0" l="0" r="0" t="0"/>
            <wp:docPr id="16"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629618" cy="228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Large Cap and </w:t>
      </w:r>
      <w:r w:rsidDel="00000000" w:rsidR="00000000" w:rsidRPr="00000000">
        <w:rPr>
          <w:rFonts w:ascii="Google Sans" w:cs="Google Sans" w:eastAsia="Google Sans" w:hAnsi="Google Sans"/>
          <w:color w:val="1f1f1f"/>
        </w:rPr>
        <w:drawing>
          <wp:inline distB="19050" distT="19050" distL="19050" distR="19050">
            <wp:extent cx="629618" cy="228952"/>
            <wp:effectExtent b="0" l="0" r="0" t="0"/>
            <wp:docPr id="17"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629618" cy="228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Small Cap.</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 Indian stocks, use </w:t>
      </w:r>
      <w:r w:rsidDel="00000000" w:rsidR="00000000" w:rsidRPr="00000000">
        <w:rPr>
          <w:rFonts w:ascii="Google Sans" w:cs="Google Sans" w:eastAsia="Google Sans" w:hAnsi="Google Sans"/>
          <w:color w:val="1f1f1f"/>
        </w:rPr>
        <w:drawing>
          <wp:inline distB="19050" distT="19050" distL="19050" distR="19050">
            <wp:extent cx="629618" cy="228952"/>
            <wp:effectExtent b="0" l="0" r="0" t="0"/>
            <wp:docPr id="1"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629618" cy="228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account for thinner order books.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 Gold/Silver ETFs, use </w:t>
      </w:r>
      <w:r w:rsidDel="00000000" w:rsidR="00000000" w:rsidRPr="00000000">
        <w:rPr>
          <w:rFonts w:ascii="Google Sans" w:cs="Google Sans" w:eastAsia="Google Sans" w:hAnsi="Google Sans"/>
          <w:color w:val="1f1f1f"/>
        </w:rPr>
        <w:drawing>
          <wp:inline distB="19050" distT="19050" distL="19050" distR="19050">
            <wp:extent cx="629618" cy="228952"/>
            <wp:effectExtent b="0" l="0" r="0" t="0"/>
            <wp:docPr id="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629618" cy="228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reflect the efficient arbitrage between the ETF and spot metal.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3: Statutory and Platform Drag</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engine must add the explicit costs, which differ dramatically by market.</w:t>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 Simulation</w:t>
      </w:r>
      <w:r w:rsidDel="00000000" w:rsidR="00000000" w:rsidRPr="00000000">
        <w:rPr>
          <w:rFonts w:ascii="Google Sans" w:cs="Google Sans" w:eastAsia="Google Sans" w:hAnsi="Google Sans"/>
          <w:color w:val="1f1f1f"/>
          <w:rtl w:val="0"/>
        </w:rPr>
        <w:t xml:space="preserve">: Add </w:t>
      </w:r>
      <w:r w:rsidDel="00000000" w:rsidR="00000000" w:rsidRPr="00000000">
        <w:rPr>
          <w:rFonts w:ascii="Google Sans" w:cs="Google Sans" w:eastAsia="Google Sans" w:hAnsi="Google Sans"/>
          <w:color w:val="1f1f1f"/>
        </w:rPr>
        <w:drawing>
          <wp:inline distB="19050" distT="19050" distL="19050" distR="19050">
            <wp:extent cx="512341" cy="218219"/>
            <wp:effectExtent b="0" l="0" r="0" t="0"/>
            <wp:docPr id="3"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512341" cy="218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share for institutional mode, or </w:t>
      </w:r>
      <w:r w:rsidDel="00000000" w:rsidR="00000000" w:rsidRPr="00000000">
        <w:rPr>
          <w:rFonts w:ascii="Google Sans" w:cs="Google Sans" w:eastAsia="Google Sans" w:hAnsi="Google Sans"/>
          <w:color w:val="1f1f1f"/>
        </w:rPr>
        <w:drawing>
          <wp:inline distB="19050" distT="19050" distL="19050" distR="19050">
            <wp:extent cx="420142" cy="219620"/>
            <wp:effectExtent b="0" l="0" r="0" t="0"/>
            <wp:docPr id="4"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420142" cy="2196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retail mode. Ensure a "PFOF Slippage" of 0.2 bps is added for retail mode to account for the indirect cost of not hitting the NBBO.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India Simulation</w:t>
      </w:r>
      <w:r w:rsidDel="00000000" w:rsidR="00000000" w:rsidRPr="00000000">
        <w:rPr>
          <w:rFonts w:ascii="Google Sans" w:cs="Google Sans" w:eastAsia="Google Sans" w:hAnsi="Google Sans"/>
          <w:color w:val="1f1f1f"/>
          <w:rtl w:val="0"/>
        </w:rPr>
        <w:t xml:space="preserve">: Add </w:t>
      </w:r>
      <w:r w:rsidDel="00000000" w:rsidR="00000000" w:rsidRPr="00000000">
        <w:rPr>
          <w:rFonts w:ascii="Google Sans" w:cs="Google Sans" w:eastAsia="Google Sans" w:hAnsi="Google Sans"/>
          <w:color w:val="1f1f1f"/>
        </w:rPr>
        <w:drawing>
          <wp:inline distB="19050" distT="19050" distL="19050" distR="19050">
            <wp:extent cx="481534" cy="217162"/>
            <wp:effectExtent b="0" l="0" r="0" t="0"/>
            <wp:docPr id="5"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481534" cy="217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delivery trades (round-trip) to account for STT, Stamp Duty, and GST. For intraday, use </w:t>
      </w:r>
      <w:r w:rsidDel="00000000" w:rsidR="00000000" w:rsidRPr="00000000">
        <w:rPr>
          <w:rFonts w:ascii="Google Sans" w:cs="Google Sans" w:eastAsia="Google Sans" w:hAnsi="Google Sans"/>
          <w:color w:val="1f1f1f"/>
        </w:rPr>
        <w:drawing>
          <wp:inline distB="19050" distT="19050" distL="19050" distR="19050">
            <wp:extent cx="481534" cy="217162"/>
            <wp:effectExtent b="0" l="0" r="0" t="0"/>
            <wp:docPr id="6"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481534" cy="217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Navigating the Friction Tiers of 2025</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results of this analysis indicate that transaction costs are no longer a trivial "fixed fee" but a multi-dimensional function of market structure and volatility. In the US, the concentration of liquidity in the hands of a few market makers has created an environment where execution is nearly "free" for small retail orders but increasingly complex for institutional metaorders due to the square-root nature of price impact. In India, the market is characterized by a "statutory floor"—even if the bid-ask spread were zero, the tax regime ensures a minimum friction of roughly 12 basis points for delivery-based investors.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developer of the QuantFi app, the key takeaway is the necessity of a "Liquidity Regime" switch. During normal market conditions, the costs identified in the tables above are stable. However, when volatility spikes—as seen in the August 2024 and January 2025 metal crashes—the simulation must widen spreads and increase the </w:t>
      </w:r>
      <w:r w:rsidDel="00000000" w:rsidR="00000000" w:rsidRPr="00000000">
        <w:rPr>
          <w:rFonts w:ascii="Google Sans" w:cs="Google Sans" w:eastAsia="Google Sans" w:hAnsi="Google Sans"/>
          <w:color w:val="1f1f1f"/>
        </w:rPr>
        <w:drawing>
          <wp:inline distB="19050" distT="19050" distL="19050" distR="19050">
            <wp:extent cx="148084" cy="222126"/>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48084" cy="222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coefficient in the Square Root Law by a factor of 2x or 3x. Failure to do so will result in an overestimation of the "realizable" alpha, particularly for strategies that involve high-frequency rotation or small-cap exposure. By integrating these specific, asset-class calibrated models, the QuantFi simulation engine will move from a theoretical toy to a professional-grade tool capable of predicting live performance in the world's most dynamic markets.</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Trading Trends from 2024 | Nasdaq, accessed February 18, 2026, </w:t>
      </w:r>
      <w:hyperlink r:id="rId46">
        <w:r w:rsidDel="00000000" w:rsidR="00000000" w:rsidRPr="00000000">
          <w:rPr>
            <w:rFonts w:ascii="Google Sans" w:cs="Google Sans" w:eastAsia="Google Sans" w:hAnsi="Google Sans"/>
            <w:color w:val="0000ee"/>
            <w:sz w:val="24"/>
            <w:szCs w:val="24"/>
            <w:u w:val="single"/>
            <w:rtl w:val="0"/>
          </w:rPr>
          <w:t xml:space="preserve">https://www.nasdaq.com/articles/top-trading-trends-2024</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NASDAQ market makers and liquidity | Guide 2026 - Winvesta, accessed February 18, 2026, </w:t>
      </w:r>
      <w:hyperlink r:id="rId47">
        <w:r w:rsidDel="00000000" w:rsidR="00000000" w:rsidRPr="00000000">
          <w:rPr>
            <w:rFonts w:ascii="Google Sans" w:cs="Google Sans" w:eastAsia="Google Sans" w:hAnsi="Google Sans"/>
            <w:color w:val="0000ee"/>
            <w:sz w:val="24"/>
            <w:szCs w:val="24"/>
            <w:u w:val="single"/>
            <w:rtl w:val="0"/>
          </w:rPr>
          <w:t xml:space="preserve">https://www.winvesta.in/blog/investors/understanding-nasdaq-market-makers-and-liquidity</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Brokers vs Robinhood 2026 - StockBrokers.com, accessed February 18, 2026, </w:t>
      </w:r>
      <w:hyperlink r:id="rId48">
        <w:r w:rsidDel="00000000" w:rsidR="00000000" w:rsidRPr="00000000">
          <w:rPr>
            <w:rFonts w:ascii="Google Sans" w:cs="Google Sans" w:eastAsia="Google Sans" w:hAnsi="Google Sans"/>
            <w:color w:val="0000ee"/>
            <w:sz w:val="24"/>
            <w:szCs w:val="24"/>
            <w:u w:val="single"/>
            <w:rtl w:val="0"/>
          </w:rPr>
          <w:t xml:space="preserve">https://www.stockbrokers.com/compare/interactivebrokers-vs-robinhood</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Brokerage That Makes More From Fewer Clients: Is Interactive Brokers Still Undervalued? - TradingView, accessed February 18, 2026, </w:t>
      </w:r>
      <w:hyperlink r:id="rId49">
        <w:r w:rsidDel="00000000" w:rsidR="00000000" w:rsidRPr="00000000">
          <w:rPr>
            <w:rFonts w:ascii="Google Sans" w:cs="Google Sans" w:eastAsia="Google Sans" w:hAnsi="Google Sans"/>
            <w:color w:val="0000ee"/>
            <w:sz w:val="24"/>
            <w:szCs w:val="24"/>
            <w:u w:val="single"/>
            <w:rtl w:val="0"/>
          </w:rPr>
          <w:t xml:space="preserve">https://www.tradingview.com/news/gurufocus:efe218068094b:0-the-brokerage-that-makes-more-from-fewer-clients-is-interactive-brokers-still-undervalued/</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Brokers Review 2026 - Investing.com, accessed February 18, 2026, </w:t>
      </w:r>
      <w:hyperlink r:id="rId50">
        <w:r w:rsidDel="00000000" w:rsidR="00000000" w:rsidRPr="00000000">
          <w:rPr>
            <w:rFonts w:ascii="Google Sans" w:cs="Google Sans" w:eastAsia="Google Sans" w:hAnsi="Google Sans"/>
            <w:color w:val="0000ee"/>
            <w:sz w:val="24"/>
            <w:szCs w:val="24"/>
            <w:u w:val="single"/>
            <w:rtl w:val="0"/>
          </w:rPr>
          <w:t xml:space="preserve">https://www.investing.com/brokers/reviews/interactive-brokers/</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Commissions Stocks | Interactive Brokers LLC, accessed February 18, 2026, </w:t>
      </w:r>
      <w:hyperlink r:id="rId51">
        <w:r w:rsidDel="00000000" w:rsidR="00000000" w:rsidRPr="00000000">
          <w:rPr>
            <w:rFonts w:ascii="Google Sans" w:cs="Google Sans" w:eastAsia="Google Sans" w:hAnsi="Google Sans"/>
            <w:color w:val="0000ee"/>
            <w:sz w:val="24"/>
            <w:szCs w:val="24"/>
            <w:u w:val="single"/>
            <w:rtl w:val="0"/>
          </w:rPr>
          <w:t xml:space="preserve">https://www.interactivebrokers.com/en/pricing/commissions-stocks.php</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Cost, Index Concepts - NSE India, accessed February 18, 2026, </w:t>
      </w:r>
      <w:hyperlink r:id="rId52">
        <w:r w:rsidDel="00000000" w:rsidR="00000000" w:rsidRPr="00000000">
          <w:rPr>
            <w:rFonts w:ascii="Google Sans" w:cs="Google Sans" w:eastAsia="Google Sans" w:hAnsi="Google Sans"/>
            <w:color w:val="0000ee"/>
            <w:sz w:val="24"/>
            <w:szCs w:val="24"/>
            <w:u w:val="single"/>
            <w:rtl w:val="0"/>
          </w:rPr>
          <w:t xml:space="preserve">https://www.nseindia.com/static/products-services/indices-impact-cost</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Cost - NIFTY Indices, accessed February 18, 2026, </w:t>
      </w:r>
      <w:hyperlink r:id="rId53">
        <w:r w:rsidDel="00000000" w:rsidR="00000000" w:rsidRPr="00000000">
          <w:rPr>
            <w:rFonts w:ascii="Google Sans" w:cs="Google Sans" w:eastAsia="Google Sans" w:hAnsi="Google Sans"/>
            <w:color w:val="0000ee"/>
            <w:sz w:val="24"/>
            <w:szCs w:val="24"/>
            <w:u w:val="single"/>
            <w:rtl w:val="0"/>
          </w:rPr>
          <w:t xml:space="preserve">https://www.niftyindices.com/resources/index-concepts/impact-cost</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NIFTY 50 - Wikipedia, accessed February 18, 2026, </w:t>
      </w:r>
      <w:hyperlink r:id="rId54">
        <w:r w:rsidDel="00000000" w:rsidR="00000000" w:rsidRPr="00000000">
          <w:rPr>
            <w:rFonts w:ascii="Google Sans" w:cs="Google Sans" w:eastAsia="Google Sans" w:hAnsi="Google Sans"/>
            <w:color w:val="0000ee"/>
            <w:sz w:val="24"/>
            <w:szCs w:val="24"/>
            <w:u w:val="single"/>
            <w:rtl w:val="0"/>
          </w:rPr>
          <w:t xml:space="preserve">https://en.wikipedia.org/wiki/NIFTY_50</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Pulse - NSE - National Stock Exchange of India Ltd., accessed February 18, 2026, </w:t>
      </w:r>
      <w:hyperlink r:id="rId55">
        <w:r w:rsidDel="00000000" w:rsidR="00000000" w:rsidRPr="00000000">
          <w:rPr>
            <w:rFonts w:ascii="Google Sans" w:cs="Google Sans" w:eastAsia="Google Sans" w:hAnsi="Google Sans"/>
            <w:color w:val="0000ee"/>
            <w:sz w:val="24"/>
            <w:szCs w:val="24"/>
            <w:u w:val="single"/>
            <w:rtl w:val="0"/>
          </w:rPr>
          <w:t xml:space="preserve">https://www.nseindia.com/static/research/publications-reports-nse-market-pulse</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Nifty 500 Index Whitepaper October_2025, accessed February 18, 2026, </w:t>
      </w:r>
      <w:hyperlink r:id="rId56">
        <w:r w:rsidDel="00000000" w:rsidR="00000000" w:rsidRPr="00000000">
          <w:rPr>
            <w:rFonts w:ascii="Google Sans" w:cs="Google Sans" w:eastAsia="Google Sans" w:hAnsi="Google Sans"/>
            <w:color w:val="0000ee"/>
            <w:sz w:val="24"/>
            <w:szCs w:val="24"/>
            <w:u w:val="single"/>
            <w:rtl w:val="0"/>
          </w:rPr>
          <w:t xml:space="preserve">https://www.niftyindices.com/docs/default-source/indices/nifty-500/nifty-500-whitepaper_2025.pdf?sfvrsn=7b2c6635_4</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Revision in Tick Size for Stock Options in F&amp;O Segment - Angel One, accessed February 18, 2026, </w:t>
      </w:r>
      <w:hyperlink r:id="rId57">
        <w:r w:rsidDel="00000000" w:rsidR="00000000" w:rsidRPr="00000000">
          <w:rPr>
            <w:rFonts w:ascii="Google Sans" w:cs="Google Sans" w:eastAsia="Google Sans" w:hAnsi="Google Sans"/>
            <w:color w:val="0000ee"/>
            <w:sz w:val="24"/>
            <w:szCs w:val="24"/>
            <w:u w:val="single"/>
            <w:rtl w:val="0"/>
          </w:rPr>
          <w:t xml:space="preserve">https://www.angelone.in/announcements/market/revision-in-tick-size-for-stock-options-contracts-by-nse</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Zerodha brokerage charges, fees &amp; taxes on trading and investing, accessed February 18, 2026, </w:t>
      </w:r>
      <w:hyperlink r:id="rId58">
        <w:r w:rsidDel="00000000" w:rsidR="00000000" w:rsidRPr="00000000">
          <w:rPr>
            <w:rFonts w:ascii="Google Sans" w:cs="Google Sans" w:eastAsia="Google Sans" w:hAnsi="Google Sans"/>
            <w:color w:val="0000ee"/>
            <w:sz w:val="24"/>
            <w:szCs w:val="24"/>
            <w:u w:val="single"/>
            <w:rtl w:val="0"/>
          </w:rPr>
          <w:t xml:space="preserve">https://zerodha.com/charges/</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Brokerage calculator - Zerodha, accessed February 18, 2026, </w:t>
      </w:r>
      <w:hyperlink r:id="rId59">
        <w:r w:rsidDel="00000000" w:rsidR="00000000" w:rsidRPr="00000000">
          <w:rPr>
            <w:rFonts w:ascii="Google Sans" w:cs="Google Sans" w:eastAsia="Google Sans" w:hAnsi="Google Sans"/>
            <w:color w:val="0000ee"/>
            <w:sz w:val="24"/>
            <w:szCs w:val="24"/>
            <w:u w:val="single"/>
            <w:rtl w:val="0"/>
          </w:rPr>
          <w:t xml:space="preserve">https://zerodha.com/brokerage-calculator/</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Gold ETFs Explained: How GLD, IAU, and GLDM Differ for Investors - TradingView, accessed February 18, 2026, </w:t>
      </w:r>
      <w:hyperlink r:id="rId60">
        <w:r w:rsidDel="00000000" w:rsidR="00000000" w:rsidRPr="00000000">
          <w:rPr>
            <w:rFonts w:ascii="Google Sans" w:cs="Google Sans" w:eastAsia="Google Sans" w:hAnsi="Google Sans"/>
            <w:color w:val="0000ee"/>
            <w:sz w:val="24"/>
            <w:szCs w:val="24"/>
            <w:u w:val="single"/>
            <w:rtl w:val="0"/>
          </w:rPr>
          <w:t xml:space="preserve">https://www.tradingview.com/news/etfcom:57ab3846f094b:0-top-gold-etfs-explained-how-gld-iau-and-gldm-differ-for-investors/</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Goldman Sachs Small Cap Equity ETF | GSC | Class Common Shares, accessed February 18, 2026, </w:t>
      </w:r>
      <w:hyperlink r:id="rId61">
        <w:r w:rsidDel="00000000" w:rsidR="00000000" w:rsidRPr="00000000">
          <w:rPr>
            <w:rFonts w:ascii="Google Sans" w:cs="Google Sans" w:eastAsia="Google Sans" w:hAnsi="Google Sans"/>
            <w:color w:val="0000ee"/>
            <w:sz w:val="24"/>
            <w:szCs w:val="24"/>
            <w:u w:val="single"/>
            <w:rtl w:val="0"/>
          </w:rPr>
          <w:t xml:space="preserve">https://am.gs.com/en-us/institutions/funds/detail/PV105332/38149W614/goldman-sachs-small-cap-core-equity-etf</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VTI Index Total Stock Market ETF - Financial Advisors, accessed February 18, 2026, </w:t>
      </w:r>
      <w:hyperlink r:id="rId62">
        <w:r w:rsidDel="00000000" w:rsidR="00000000" w:rsidRPr="00000000">
          <w:rPr>
            <w:rFonts w:ascii="Google Sans" w:cs="Google Sans" w:eastAsia="Google Sans" w:hAnsi="Google Sans"/>
            <w:color w:val="0000ee"/>
            <w:sz w:val="24"/>
            <w:szCs w:val="24"/>
            <w:u w:val="single"/>
            <w:rtl w:val="0"/>
          </w:rPr>
          <w:t xml:space="preserve">https://advisors.vanguard.com/investments/products/vti/vanguard-total-stock-market-etf</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VBR - Vanguard Small-Cap Value ETF - Financial Advisors, accessed February 18, 2026, </w:t>
      </w:r>
      <w:hyperlink r:id="rId63">
        <w:r w:rsidDel="00000000" w:rsidR="00000000" w:rsidRPr="00000000">
          <w:rPr>
            <w:rFonts w:ascii="Google Sans" w:cs="Google Sans" w:eastAsia="Google Sans" w:hAnsi="Google Sans"/>
            <w:color w:val="0000ee"/>
            <w:sz w:val="24"/>
            <w:szCs w:val="24"/>
            <w:u w:val="single"/>
            <w:rtl w:val="0"/>
          </w:rPr>
          <w:t xml:space="preserve">https://advisors.vanguard.com/investments/products/vbr/vanguard-small-cap-value-etf</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iShares MSCI India ETF | INDA, accessed February 18, 2026, </w:t>
      </w:r>
      <w:hyperlink r:id="rId64">
        <w:r w:rsidDel="00000000" w:rsidR="00000000" w:rsidRPr="00000000">
          <w:rPr>
            <w:rFonts w:ascii="Google Sans" w:cs="Google Sans" w:eastAsia="Google Sans" w:hAnsi="Google Sans"/>
            <w:color w:val="0000ee"/>
            <w:sz w:val="24"/>
            <w:szCs w:val="24"/>
            <w:u w:val="single"/>
            <w:rtl w:val="0"/>
          </w:rPr>
          <w:t xml:space="preserve">https://www.ishares.com/us/products/239659/ishares-msci-india-etf</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DUBS ETF | Large Cap Enhanced Yield &amp; Total Return Focus - Aptus ETFs, accessed February 18, 2026, </w:t>
      </w:r>
      <w:hyperlink r:id="rId65">
        <w:r w:rsidDel="00000000" w:rsidR="00000000" w:rsidRPr="00000000">
          <w:rPr>
            <w:rFonts w:ascii="Google Sans" w:cs="Google Sans" w:eastAsia="Google Sans" w:hAnsi="Google Sans"/>
            <w:color w:val="0000ee"/>
            <w:sz w:val="24"/>
            <w:szCs w:val="24"/>
            <w:u w:val="single"/>
            <w:rtl w:val="0"/>
          </w:rPr>
          <w:t xml:space="preserve">https://aptusetfs.com/dubs/</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ETF vs Gold Bees 2026 | Which Gives Better Returns? - MySIPonline Blog, accessed February 18, 2026, </w:t>
      </w:r>
      <w:hyperlink r:id="rId66">
        <w:r w:rsidDel="00000000" w:rsidR="00000000" w:rsidRPr="00000000">
          <w:rPr>
            <w:rFonts w:ascii="Google Sans" w:cs="Google Sans" w:eastAsia="Google Sans" w:hAnsi="Google Sans"/>
            <w:color w:val="0000ee"/>
            <w:sz w:val="24"/>
            <w:szCs w:val="24"/>
            <w:u w:val="single"/>
            <w:rtl w:val="0"/>
          </w:rPr>
          <w:t xml:space="preserve">https://blog.mysiponline.com/gold-bees-vs-gold</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Nippon India ETF Gold BeES | Fund Factsheet - Morningstar, accessed February 18, 2026, </w:t>
      </w:r>
      <w:hyperlink r:id="rId67">
        <w:r w:rsidDel="00000000" w:rsidR="00000000" w:rsidRPr="00000000">
          <w:rPr>
            <w:rFonts w:ascii="Google Sans" w:cs="Google Sans" w:eastAsia="Google Sans" w:hAnsi="Google Sans"/>
            <w:color w:val="0000ee"/>
            <w:sz w:val="24"/>
            <w:szCs w:val="24"/>
            <w:u w:val="single"/>
            <w:rtl w:val="0"/>
          </w:rPr>
          <w:t xml:space="preserve">https://www.morningstar.in/mutualfunds/fousa06iai/nippon-india-etf-gold-bees/fund-factsheet.aspx</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ETF vs Silver ETF: Performance, Risks &amp; Benefits | m.Stock, accessed February 18, 2026, </w:t>
      </w:r>
      <w:hyperlink r:id="rId68">
        <w:r w:rsidDel="00000000" w:rsidR="00000000" w:rsidRPr="00000000">
          <w:rPr>
            <w:rFonts w:ascii="Google Sans" w:cs="Google Sans" w:eastAsia="Google Sans" w:hAnsi="Google Sans"/>
            <w:color w:val="0000ee"/>
            <w:sz w:val="24"/>
            <w:szCs w:val="24"/>
            <w:u w:val="single"/>
            <w:rtl w:val="0"/>
          </w:rPr>
          <w:t xml:space="preserve">https://www.mstock.com/articles/gold-vs-silver-etf</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Precious Metals ETFs: IAU Has Lower Costs, But SLV Has Delivered Greater Returns, accessed February 18, 2026, </w:t>
      </w:r>
      <w:hyperlink r:id="rId69">
        <w:r w:rsidDel="00000000" w:rsidR="00000000" w:rsidRPr="00000000">
          <w:rPr>
            <w:rFonts w:ascii="Google Sans" w:cs="Google Sans" w:eastAsia="Google Sans" w:hAnsi="Google Sans"/>
            <w:color w:val="0000ee"/>
            <w:sz w:val="24"/>
            <w:szCs w:val="24"/>
            <w:u w:val="single"/>
            <w:rtl w:val="0"/>
          </w:rPr>
          <w:t xml:space="preserve">https://www.nasdaq.com/articles/precious-metals-etfs-iau-has-lower-costs-slv-has-delivered-greater-returns</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LBMA Precious Metals Market Report: Q4 and Full Year 2025, accessed February 18, 2026, </w:t>
      </w:r>
      <w:hyperlink r:id="rId70">
        <w:r w:rsidDel="00000000" w:rsidR="00000000" w:rsidRPr="00000000">
          <w:rPr>
            <w:rFonts w:ascii="Google Sans" w:cs="Google Sans" w:eastAsia="Google Sans" w:hAnsi="Google Sans"/>
            <w:color w:val="0000ee"/>
            <w:sz w:val="24"/>
            <w:szCs w:val="24"/>
            <w:u w:val="single"/>
            <w:rtl w:val="0"/>
          </w:rPr>
          <w:t xml:space="preserve">https://www.lbma.org.uk/articles/lbma-precious-metals-market-report-q4-and-full-year-2025</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Silver, the Metal of the Year 2025 | GoldBroker.com, accessed February 18, 2026, </w:t>
      </w:r>
      <w:hyperlink r:id="rId71">
        <w:r w:rsidDel="00000000" w:rsidR="00000000" w:rsidRPr="00000000">
          <w:rPr>
            <w:rFonts w:ascii="Google Sans" w:cs="Google Sans" w:eastAsia="Google Sans" w:hAnsi="Google Sans"/>
            <w:color w:val="0000ee"/>
            <w:sz w:val="24"/>
            <w:szCs w:val="24"/>
            <w:u w:val="single"/>
            <w:rtl w:val="0"/>
          </w:rPr>
          <w:t xml:space="preserve">https://goldbroker.com/news/silver-metal-year-2025-3644</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and Outlook on Gold and Silver - December 2024 - Mirae Asset Mutual Fund, accessed February 18, 2026, </w:t>
      </w:r>
      <w:hyperlink r:id="rId72">
        <w:r w:rsidDel="00000000" w:rsidR="00000000" w:rsidRPr="00000000">
          <w:rPr>
            <w:rFonts w:ascii="Google Sans" w:cs="Google Sans" w:eastAsia="Google Sans" w:hAnsi="Google Sans"/>
            <w:color w:val="0000ee"/>
            <w:sz w:val="24"/>
            <w:szCs w:val="24"/>
            <w:u w:val="single"/>
            <w:rtl w:val="0"/>
          </w:rPr>
          <w:t xml:space="preserve">https://www.miraeassetmf.co.in/docs/default-source/marketing/update-on-commodity-markets-and-outlook-2025.pdf</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MCX gold, silver rates at record high on healthy spot demand: What should investors do? | Stock Market News - Mint, accessed February 18, 2026, </w:t>
      </w:r>
      <w:hyperlink r:id="rId73">
        <w:r w:rsidDel="00000000" w:rsidR="00000000" w:rsidRPr="00000000">
          <w:rPr>
            <w:rFonts w:ascii="Google Sans" w:cs="Google Sans" w:eastAsia="Google Sans" w:hAnsi="Google Sans"/>
            <w:color w:val="0000ee"/>
            <w:sz w:val="24"/>
            <w:szCs w:val="24"/>
            <w:u w:val="single"/>
            <w:rtl w:val="0"/>
          </w:rPr>
          <w:t xml:space="preserve">https://www.livemint.com/market/commodities/gold-price-today-rates-at-record-high-on-mcx-silver-rates-at-record-high-is-it-the-right-time-to-buy-gold-11759722021873.html</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Bullion Physical Market Report Date: 15th January 2025 - IBJA, accessed February 18, 2026, </w:t>
      </w:r>
      <w:hyperlink r:id="rId74">
        <w:r w:rsidDel="00000000" w:rsidR="00000000" w:rsidRPr="00000000">
          <w:rPr>
            <w:rFonts w:ascii="Google Sans" w:cs="Google Sans" w:eastAsia="Google Sans" w:hAnsi="Google Sans"/>
            <w:color w:val="0000ee"/>
            <w:sz w:val="24"/>
            <w:szCs w:val="24"/>
            <w:u w:val="single"/>
            <w:rtl w:val="0"/>
          </w:rPr>
          <w:t xml:space="preserve">https://www.ibja.co/Upload/IBJA_Bullion%20Daily%20Report%20-%2015-01-2025.pdf</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Day Gold ETFs Didn't Trade Like Gold - Finviz, accessed February 18, 2026, </w:t>
      </w:r>
      <w:hyperlink r:id="rId75">
        <w:r w:rsidDel="00000000" w:rsidR="00000000" w:rsidRPr="00000000">
          <w:rPr>
            <w:rFonts w:ascii="Google Sans" w:cs="Google Sans" w:eastAsia="Google Sans" w:hAnsi="Google Sans"/>
            <w:color w:val="0000ee"/>
            <w:sz w:val="24"/>
            <w:szCs w:val="24"/>
            <w:u w:val="single"/>
            <w:rtl w:val="0"/>
          </w:rPr>
          <w:t xml:space="preserve">https://finviz.com/news/296074/the-day-gold-etfs-didnt-trade-like-gold</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Strict universality of the square-root law in price impact across stocks: a complete survey of the Tokyo stock exchange - arXiv, accessed February 18, 2026, </w:t>
      </w:r>
      <w:hyperlink r:id="rId76">
        <w:r w:rsidDel="00000000" w:rsidR="00000000" w:rsidRPr="00000000">
          <w:rPr>
            <w:rFonts w:ascii="Google Sans" w:cs="Google Sans" w:eastAsia="Google Sans" w:hAnsi="Google Sans"/>
            <w:color w:val="0000ee"/>
            <w:sz w:val="24"/>
            <w:szCs w:val="24"/>
            <w:u w:val="single"/>
            <w:rtl w:val="0"/>
          </w:rPr>
          <w:t xml:space="preserve">https://arxiv.org/html/2411.13965v3</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Square-Root Law of Market Impact - Emergent Mind, accessed February 18, 2026, </w:t>
      </w:r>
      <w:hyperlink r:id="rId77">
        <w:r w:rsidDel="00000000" w:rsidR="00000000" w:rsidRPr="00000000">
          <w:rPr>
            <w:rFonts w:ascii="Google Sans" w:cs="Google Sans" w:eastAsia="Google Sans" w:hAnsi="Google Sans"/>
            <w:color w:val="0000ee"/>
            <w:sz w:val="24"/>
            <w:szCs w:val="24"/>
            <w:u w:val="single"/>
            <w:rtl w:val="0"/>
          </w:rPr>
          <w:t xml:space="preserve">https://www.emergentmind.com/topics/square-root-law-of-market-impact</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transaction costs - Typical coefficients uses in square-root model for market impact, accessed February 18, 2026, </w:t>
      </w:r>
      <w:hyperlink r:id="rId78">
        <w:r w:rsidDel="00000000" w:rsidR="00000000" w:rsidRPr="00000000">
          <w:rPr>
            <w:rFonts w:ascii="Google Sans" w:cs="Google Sans" w:eastAsia="Google Sans" w:hAnsi="Google Sans"/>
            <w:color w:val="0000ee"/>
            <w:sz w:val="24"/>
            <w:szCs w:val="24"/>
            <w:u w:val="single"/>
            <w:rtl w:val="0"/>
          </w:rPr>
          <w:t xml:space="preserve">https://quant.stackexchange.com/questions/7049/typical-coefficients-uses-in-square-root-model-for-market-impact</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 standard model for market impact? - Quantitative Finance Stack Exchange, accessed February 18, 2026, </w:t>
      </w:r>
      <w:hyperlink r:id="rId79">
        <w:r w:rsidDel="00000000" w:rsidR="00000000" w:rsidRPr="00000000">
          <w:rPr>
            <w:rFonts w:ascii="Google Sans" w:cs="Google Sans" w:eastAsia="Google Sans" w:hAnsi="Google Sans"/>
            <w:color w:val="0000ee"/>
            <w:sz w:val="24"/>
            <w:szCs w:val="24"/>
            <w:u w:val="single"/>
            <w:rtl w:val="0"/>
          </w:rPr>
          <w:t xml:space="preserve">https://quant.stackexchange.com/questions/43/is-there-a-standard-model-for-market-impact</w:t>
        </w:r>
      </w:hyperlink>
      <w:r w:rsidDel="00000000" w:rsidR="00000000" w:rsidRPr="00000000">
        <w:rPr>
          <w:rtl w:val="0"/>
        </w:rPr>
      </w:r>
    </w:p>
    <w:p w:rsidR="00000000" w:rsidDel="00000000" w:rsidP="00000000" w:rsidRDefault="00000000" w:rsidRPr="00000000" w14:paraId="000001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Warwick Economics Research Papers ISSN 2059-4283 (online) ISSN 0083-7350 (print) July 2019 No: 1211, accessed February 18, 2026, </w:t>
      </w:r>
      <w:hyperlink r:id="rId80">
        <w:r w:rsidDel="00000000" w:rsidR="00000000" w:rsidRPr="00000000">
          <w:rPr>
            <w:rFonts w:ascii="Google Sans" w:cs="Google Sans" w:eastAsia="Google Sans" w:hAnsi="Google Sans"/>
            <w:color w:val="0000ee"/>
            <w:sz w:val="24"/>
            <w:szCs w:val="24"/>
            <w:u w:val="single"/>
            <w:rtl w:val="0"/>
          </w:rPr>
          <w:t xml:space="preserve">https://warwick.ac.uk/fac/soc/economics/research/workingpapers/2019/twerp_1211_bernhardt.pdf</w:t>
        </w:r>
      </w:hyperlink>
      <w:r w:rsidDel="00000000" w:rsidR="00000000" w:rsidRPr="00000000">
        <w:rPr>
          <w:rtl w:val="0"/>
        </w:rPr>
      </w:r>
    </w:p>
    <w:p w:rsidR="00000000" w:rsidDel="00000000" w:rsidP="00000000" w:rsidRDefault="00000000" w:rsidRPr="00000000" w14:paraId="000001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the Amihud Illiquidity Premium - ResearchGate, accessed February 18, 2026, </w:t>
      </w:r>
      <w:hyperlink r:id="rId81">
        <w:r w:rsidDel="00000000" w:rsidR="00000000" w:rsidRPr="00000000">
          <w:rPr>
            <w:rFonts w:ascii="Google Sans" w:cs="Google Sans" w:eastAsia="Google Sans" w:hAnsi="Google Sans"/>
            <w:color w:val="0000ee"/>
            <w:sz w:val="24"/>
            <w:szCs w:val="24"/>
            <w:u w:val="single"/>
            <w:rtl w:val="0"/>
          </w:rPr>
          <w:t xml:space="preserve">https://www.researchgate.net/publication/228315879_An_Analysis_of_the_Amihud_Illiquidity_Premium</w:t>
        </w:r>
      </w:hyperlink>
      <w:r w:rsidDel="00000000" w:rsidR="00000000" w:rsidRPr="00000000">
        <w:rPr>
          <w:rtl w:val="0"/>
        </w:rPr>
      </w:r>
    </w:p>
    <w:p w:rsidR="00000000" w:rsidDel="00000000" w:rsidP="00000000" w:rsidRDefault="00000000" w:rsidRPr="00000000" w14:paraId="000001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Illiquidity Premium in the Indian Stock Market: An Empirical ..., accessed February 18, 2026, </w:t>
      </w:r>
      <w:hyperlink r:id="rId82">
        <w:r w:rsidDel="00000000" w:rsidR="00000000" w:rsidRPr="00000000">
          <w:rPr>
            <w:rFonts w:ascii="Google Sans" w:cs="Google Sans" w:eastAsia="Google Sans" w:hAnsi="Google Sans"/>
            <w:color w:val="0000ee"/>
            <w:sz w:val="24"/>
            <w:szCs w:val="24"/>
            <w:u w:val="single"/>
            <w:rtl w:val="0"/>
          </w:rPr>
          <w:t xml:space="preserve">https://archive.aessweb.com/index.php/5002/article/view/2103/7407</w:t>
        </w:r>
      </w:hyperlink>
      <w:r w:rsidDel="00000000" w:rsidR="00000000" w:rsidRPr="00000000">
        <w:rPr>
          <w:rtl w:val="0"/>
        </w:rPr>
      </w:r>
    </w:p>
    <w:p w:rsidR="00000000" w:rsidDel="00000000" w:rsidP="00000000" w:rsidRDefault="00000000" w:rsidRPr="00000000" w14:paraId="000001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Illiquidity Premium in the Indian Stock Market: An Empirical Study - IDEAS/RePEc, accessed February 18, 2026, </w:t>
      </w:r>
      <w:hyperlink r:id="rId83">
        <w:r w:rsidDel="00000000" w:rsidR="00000000" w:rsidRPr="00000000">
          <w:rPr>
            <w:rFonts w:ascii="Google Sans" w:cs="Google Sans" w:eastAsia="Google Sans" w:hAnsi="Google Sans"/>
            <w:color w:val="0000ee"/>
            <w:sz w:val="24"/>
            <w:szCs w:val="24"/>
            <w:u w:val="single"/>
            <w:rtl w:val="0"/>
          </w:rPr>
          <w:t xml:space="preserve">https://ideas.repec.org/a/asi/aeafrj/v11y2021i6p501-511id2103.html</w:t>
        </w:r>
      </w:hyperlink>
      <w:r w:rsidDel="00000000" w:rsidR="00000000" w:rsidRPr="00000000">
        <w:rPr>
          <w:rtl w:val="0"/>
        </w:rPr>
      </w:r>
    </w:p>
    <w:p w:rsidR="00000000" w:rsidDel="00000000" w:rsidP="00000000" w:rsidRDefault="00000000" w:rsidRPr="00000000" w14:paraId="0000013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Non-Trading on the Illiquidity Ratio - Aston Publications Explorer, accessed February 18, 2026, </w:t>
      </w:r>
      <w:hyperlink r:id="rId84">
        <w:r w:rsidDel="00000000" w:rsidR="00000000" w:rsidRPr="00000000">
          <w:rPr>
            <w:rFonts w:ascii="Google Sans" w:cs="Google Sans" w:eastAsia="Google Sans" w:hAnsi="Google Sans"/>
            <w:color w:val="0000ee"/>
            <w:sz w:val="24"/>
            <w:szCs w:val="24"/>
            <w:u w:val="single"/>
            <w:rtl w:val="0"/>
          </w:rPr>
          <w:t xml:space="preserve">https://publications.aston.ac.uk/id/eprint/26595/1/Effects_of_non_trading_on_the_illiquidity_ratio.pdf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84" Type="http://schemas.openxmlformats.org/officeDocument/2006/relationships/hyperlink" Target="https://publications.aston.ac.uk/id/eprint/26595/1/Effects_of_non_trading_on_the_illiquidity_ratio.pdf" TargetMode="External"/><Relationship Id="rId83" Type="http://schemas.openxmlformats.org/officeDocument/2006/relationships/hyperlink" Target="https://ideas.repec.org/a/asi/aeafrj/v11y2021i6p501-511id2103.html" TargetMode="External"/><Relationship Id="rId42" Type="http://schemas.openxmlformats.org/officeDocument/2006/relationships/image" Target="media/image29.png"/><Relationship Id="rId41" Type="http://schemas.openxmlformats.org/officeDocument/2006/relationships/image" Target="media/image12.png"/><Relationship Id="rId44" Type="http://schemas.openxmlformats.org/officeDocument/2006/relationships/image" Target="media/image8.png"/><Relationship Id="rId43" Type="http://schemas.openxmlformats.org/officeDocument/2006/relationships/image" Target="media/image25.png"/><Relationship Id="rId46" Type="http://schemas.openxmlformats.org/officeDocument/2006/relationships/hyperlink" Target="https://www.nasdaq.com/articles/top-trading-trends-2024" TargetMode="External"/><Relationship Id="rId45" Type="http://schemas.openxmlformats.org/officeDocument/2006/relationships/image" Target="media/image33.png"/><Relationship Id="rId80" Type="http://schemas.openxmlformats.org/officeDocument/2006/relationships/hyperlink" Target="https://warwick.ac.uk/fac/soc/economics/research/workingpapers/2019/twerp_1211_bernhardt.pdf" TargetMode="External"/><Relationship Id="rId82" Type="http://schemas.openxmlformats.org/officeDocument/2006/relationships/hyperlink" Target="https://archive.aessweb.com/index.php/5002/article/view/2103/7407" TargetMode="External"/><Relationship Id="rId81" Type="http://schemas.openxmlformats.org/officeDocument/2006/relationships/hyperlink" Target="https://www.researchgate.net/publication/228315879_An_Analysis_of_the_Amihud_Illiquidity_Premiu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www.stockbrokers.com/compare/interactivebrokers-vs-robinhood" TargetMode="External"/><Relationship Id="rId47" Type="http://schemas.openxmlformats.org/officeDocument/2006/relationships/hyperlink" Target="https://www.winvesta.in/blog/investors/understanding-nasdaq-market-makers-and-liquidity" TargetMode="External"/><Relationship Id="rId49" Type="http://schemas.openxmlformats.org/officeDocument/2006/relationships/hyperlink" Target="https://www.tradingview.com/news/gurufocus:efe218068094b:0-the-brokerage-that-makes-more-from-fewer-clients-is-interactive-brokers-still-undervalued/"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9.png"/><Relationship Id="rId8" Type="http://schemas.openxmlformats.org/officeDocument/2006/relationships/image" Target="media/image14.png"/><Relationship Id="rId73" Type="http://schemas.openxmlformats.org/officeDocument/2006/relationships/hyperlink" Target="https://www.livemint.com/market/commodities/gold-price-today-rates-at-record-high-on-mcx-silver-rates-at-record-high-is-it-the-right-time-to-buy-gold-11759722021873.html" TargetMode="External"/><Relationship Id="rId72" Type="http://schemas.openxmlformats.org/officeDocument/2006/relationships/hyperlink" Target="https://www.miraeassetmf.co.in/docs/default-source/marketing/update-on-commodity-markets-and-outlook-2025.pdf" TargetMode="External"/><Relationship Id="rId31" Type="http://schemas.openxmlformats.org/officeDocument/2006/relationships/image" Target="media/image19.png"/><Relationship Id="rId75" Type="http://schemas.openxmlformats.org/officeDocument/2006/relationships/hyperlink" Target="https://finviz.com/news/296074/the-day-gold-etfs-didnt-trade-like-gold" TargetMode="External"/><Relationship Id="rId30" Type="http://schemas.openxmlformats.org/officeDocument/2006/relationships/image" Target="media/image18.png"/><Relationship Id="rId74" Type="http://schemas.openxmlformats.org/officeDocument/2006/relationships/hyperlink" Target="https://www.ibja.co/Upload/IBJA_Bullion%20Daily%20Report%20-%2015-01-2025.pdf" TargetMode="External"/><Relationship Id="rId33" Type="http://schemas.openxmlformats.org/officeDocument/2006/relationships/image" Target="media/image13.png"/><Relationship Id="rId77" Type="http://schemas.openxmlformats.org/officeDocument/2006/relationships/hyperlink" Target="https://www.emergentmind.com/topics/square-root-law-of-market-impact" TargetMode="External"/><Relationship Id="rId32" Type="http://schemas.openxmlformats.org/officeDocument/2006/relationships/image" Target="media/image3.png"/><Relationship Id="rId76" Type="http://schemas.openxmlformats.org/officeDocument/2006/relationships/hyperlink" Target="https://arxiv.org/html/2411.13965v3" TargetMode="External"/><Relationship Id="rId35" Type="http://schemas.openxmlformats.org/officeDocument/2006/relationships/image" Target="media/image1.png"/><Relationship Id="rId79" Type="http://schemas.openxmlformats.org/officeDocument/2006/relationships/hyperlink" Target="https://quant.stackexchange.com/questions/43/is-there-a-standard-model-for-market-impact" TargetMode="External"/><Relationship Id="rId34" Type="http://schemas.openxmlformats.org/officeDocument/2006/relationships/image" Target="media/image21.png"/><Relationship Id="rId78" Type="http://schemas.openxmlformats.org/officeDocument/2006/relationships/hyperlink" Target="https://quant.stackexchange.com/questions/7049/typical-coefficients-uses-in-square-root-model-for-market-impact" TargetMode="External"/><Relationship Id="rId71" Type="http://schemas.openxmlformats.org/officeDocument/2006/relationships/hyperlink" Target="https://goldbroker.com/news/silver-metal-year-2025-3644" TargetMode="External"/><Relationship Id="rId70" Type="http://schemas.openxmlformats.org/officeDocument/2006/relationships/hyperlink" Target="https://www.lbma.org.uk/articles/lbma-precious-metals-market-report-q4-and-full-year-2025" TargetMode="External"/><Relationship Id="rId37" Type="http://schemas.openxmlformats.org/officeDocument/2006/relationships/image" Target="media/image38.png"/><Relationship Id="rId36" Type="http://schemas.openxmlformats.org/officeDocument/2006/relationships/image" Target="media/image23.png"/><Relationship Id="rId39" Type="http://schemas.openxmlformats.org/officeDocument/2006/relationships/image" Target="media/image7.png"/><Relationship Id="rId38" Type="http://schemas.openxmlformats.org/officeDocument/2006/relationships/image" Target="media/image2.png"/><Relationship Id="rId62" Type="http://schemas.openxmlformats.org/officeDocument/2006/relationships/hyperlink" Target="https://advisors.vanguard.com/investments/products/vti/vanguard-total-stock-market-etf" TargetMode="External"/><Relationship Id="rId61" Type="http://schemas.openxmlformats.org/officeDocument/2006/relationships/hyperlink" Target="https://am.gs.com/en-us/institutions/funds/detail/PV105332/38149W614/goldman-sachs-small-cap-core-equity-etf" TargetMode="External"/><Relationship Id="rId20" Type="http://schemas.openxmlformats.org/officeDocument/2006/relationships/image" Target="media/image31.png"/><Relationship Id="rId64" Type="http://schemas.openxmlformats.org/officeDocument/2006/relationships/hyperlink" Target="https://www.ishares.com/us/products/239659/ishares-msci-india-etf" TargetMode="External"/><Relationship Id="rId63" Type="http://schemas.openxmlformats.org/officeDocument/2006/relationships/hyperlink" Target="https://advisors.vanguard.com/investments/products/vbr/vanguard-small-cap-value-etf" TargetMode="External"/><Relationship Id="rId22" Type="http://schemas.openxmlformats.org/officeDocument/2006/relationships/image" Target="media/image32.png"/><Relationship Id="rId66" Type="http://schemas.openxmlformats.org/officeDocument/2006/relationships/hyperlink" Target="https://blog.mysiponline.com/gold-bees-vs-gold" TargetMode="External"/><Relationship Id="rId21" Type="http://schemas.openxmlformats.org/officeDocument/2006/relationships/image" Target="media/image37.png"/><Relationship Id="rId65" Type="http://schemas.openxmlformats.org/officeDocument/2006/relationships/hyperlink" Target="https://aptusetfs.com/dubs/" TargetMode="External"/><Relationship Id="rId24" Type="http://schemas.openxmlformats.org/officeDocument/2006/relationships/image" Target="media/image4.png"/><Relationship Id="rId68" Type="http://schemas.openxmlformats.org/officeDocument/2006/relationships/hyperlink" Target="https://www.mstock.com/articles/gold-vs-silver-etf" TargetMode="External"/><Relationship Id="rId23" Type="http://schemas.openxmlformats.org/officeDocument/2006/relationships/image" Target="media/image40.png"/><Relationship Id="rId67" Type="http://schemas.openxmlformats.org/officeDocument/2006/relationships/hyperlink" Target="https://www.morningstar.in/mutualfunds/fousa06iai/nippon-india-etf-gold-bees/fund-factsheet.aspx" TargetMode="External"/><Relationship Id="rId60" Type="http://schemas.openxmlformats.org/officeDocument/2006/relationships/hyperlink" Target="https://www.tradingview.com/news/etfcom:57ab3846f094b:0-top-gold-etfs-explained-how-gld-iau-and-gldm-differ-for-investors/" TargetMode="External"/><Relationship Id="rId26" Type="http://schemas.openxmlformats.org/officeDocument/2006/relationships/image" Target="media/image10.png"/><Relationship Id="rId25" Type="http://schemas.openxmlformats.org/officeDocument/2006/relationships/image" Target="media/image9.png"/><Relationship Id="rId69" Type="http://schemas.openxmlformats.org/officeDocument/2006/relationships/hyperlink" Target="https://www.nasdaq.com/articles/precious-metals-etfs-iau-has-lower-costs-slv-has-delivered-greater-returns" TargetMode="External"/><Relationship Id="rId28" Type="http://schemas.openxmlformats.org/officeDocument/2006/relationships/image" Target="media/image30.png"/><Relationship Id="rId27" Type="http://schemas.openxmlformats.org/officeDocument/2006/relationships/image" Target="media/image35.png"/><Relationship Id="rId29" Type="http://schemas.openxmlformats.org/officeDocument/2006/relationships/image" Target="media/image15.png"/><Relationship Id="rId51" Type="http://schemas.openxmlformats.org/officeDocument/2006/relationships/hyperlink" Target="https://www.interactivebrokers.com/en/pricing/commissions-stocks.php" TargetMode="External"/><Relationship Id="rId50" Type="http://schemas.openxmlformats.org/officeDocument/2006/relationships/hyperlink" Target="https://www.investing.com/brokers/reviews/interactive-brokers/" TargetMode="External"/><Relationship Id="rId53" Type="http://schemas.openxmlformats.org/officeDocument/2006/relationships/hyperlink" Target="https://www.niftyindices.com/resources/index-concepts/impact-cost" TargetMode="External"/><Relationship Id="rId52" Type="http://schemas.openxmlformats.org/officeDocument/2006/relationships/hyperlink" Target="https://www.nseindia.com/static/products-services/indices-impact-cost" TargetMode="External"/><Relationship Id="rId11" Type="http://schemas.openxmlformats.org/officeDocument/2006/relationships/image" Target="media/image20.png"/><Relationship Id="rId55" Type="http://schemas.openxmlformats.org/officeDocument/2006/relationships/hyperlink" Target="https://www.nseindia.com/static/research/publications-reports-nse-market-pulse" TargetMode="External"/><Relationship Id="rId10" Type="http://schemas.openxmlformats.org/officeDocument/2006/relationships/image" Target="media/image24.png"/><Relationship Id="rId54" Type="http://schemas.openxmlformats.org/officeDocument/2006/relationships/hyperlink" Target="https://en.wikipedia.org/wiki/NIFTY_50" TargetMode="External"/><Relationship Id="rId13" Type="http://schemas.openxmlformats.org/officeDocument/2006/relationships/image" Target="media/image26.png"/><Relationship Id="rId57" Type="http://schemas.openxmlformats.org/officeDocument/2006/relationships/hyperlink" Target="https://www.angelone.in/announcements/market/revision-in-tick-size-for-stock-options-contracts-by-nse" TargetMode="External"/><Relationship Id="rId12" Type="http://schemas.openxmlformats.org/officeDocument/2006/relationships/image" Target="media/image17.png"/><Relationship Id="rId56" Type="http://schemas.openxmlformats.org/officeDocument/2006/relationships/hyperlink" Target="https://www.niftyindices.com/docs/default-source/indices/nifty-500/nifty-500-whitepaper_2025.pdf?sfvrsn=7b2c6635_4" TargetMode="External"/><Relationship Id="rId15" Type="http://schemas.openxmlformats.org/officeDocument/2006/relationships/image" Target="media/image22.png"/><Relationship Id="rId59" Type="http://schemas.openxmlformats.org/officeDocument/2006/relationships/hyperlink" Target="https://zerodha.com/brokerage-calculator/" TargetMode="External"/><Relationship Id="rId14" Type="http://schemas.openxmlformats.org/officeDocument/2006/relationships/image" Target="media/image6.png"/><Relationship Id="rId58" Type="http://schemas.openxmlformats.org/officeDocument/2006/relationships/hyperlink" Target="https://zerodha.com/charges/" TargetMode="External"/><Relationship Id="rId17" Type="http://schemas.openxmlformats.org/officeDocument/2006/relationships/image" Target="media/image36.png"/><Relationship Id="rId16" Type="http://schemas.openxmlformats.org/officeDocument/2006/relationships/image" Target="media/image27.png"/><Relationship Id="rId19" Type="http://schemas.openxmlformats.org/officeDocument/2006/relationships/image" Target="media/image34.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