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2C2C2A"/>
          <w:sz w:val="44"/>
        </w:rPr>
        <w:t>Architectural Components of an LLM-Based Chatbot</w:t>
      </w:r>
    </w:p>
    <w:p>
      <w:pPr>
        <w:spacing w:after="360"/>
        <w:jc w:val="center"/>
      </w:pPr>
      <w:r>
        <w:rPr>
          <w:i/>
          <w:color w:val="5F5E5A"/>
          <w:sz w:val="24"/>
        </w:rPr>
        <w:t>A high-level architectural approach, from input to grounded, guardrailed response</w:t>
      </w:r>
    </w:p>
    <w:p>
      <w:pPr>
        <w:pStyle w:val="Heading1"/>
      </w:pPr>
      <w:r>
        <w:rPr>
          <w:color w:val="2C2C2A"/>
        </w:rPr>
        <w:t>Core design principle</w:t>
      </w:r>
    </w:p>
    <w:p>
      <w:pPr>
        <w:spacing w:after="160"/>
      </w:pPr>
      <w:r>
        <w:rPr>
          <w:b w:val="0"/>
          <w:i w:val="0"/>
          <w:sz w:val="22"/>
        </w:rPr>
        <w:t>The LLM should be treated as a stateless reasoning engine that gets called repeatedly — not as a system with memory or knowledge of its own. Every capability people associate with “the chatbot” — memory, grounding in real data, personality, safety — is actually implemented outside the model, in the scaffolding around it. A production chatbot is therefore not “prompt in, text out.” That is a demo, not a system. A real architecture has to handle grounding (the model does not know your data), state (conversations persist across turns), safety (users will try to break it), and cost/latency (flagship models cannot be called for every token). The sections below walk through each component of that scaffolding.</w:t>
      </w:r>
    </w:p>
    <w:p>
      <w:pPr>
        <w:pStyle w:val="Heading1"/>
      </w:pPr>
      <w:r>
        <w:rPr>
          <w:color w:val="2C2C2A"/>
        </w:rPr>
        <w:t>1. End-to-end architecture</w:t>
      </w:r>
    </w:p>
    <w:p>
      <w:pPr>
        <w:spacing w:after="160"/>
      </w:pPr>
      <w:r>
        <w:rPr>
          <w:b w:val="0"/>
          <w:i w:val="0"/>
          <w:sz w:val="22"/>
        </w:rPr>
        <w:t>At the highest level, a chatbot is a six-stage pipeline. Input is processed and moderated, an orchestration layer decides what context the model needs, the LLM core generates a response (possibly across multiple internal steps), the output is checked before it is shown to anyone, and the whole exchange is logged for continuous improvement.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6774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774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F5E5A"/>
          <w:sz w:val="19"/>
        </w:rPr>
        <w:t>Figure 1. End-to-end LLM chatbot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fill="3C3489"/>
          </w:tcPr>
          <w:p>
            <w:r/>
            <w:r>
              <w:rPr>
                <w:b/>
                <w:color w:val="FFFFFF"/>
                <w:sz w:val="20"/>
              </w:rPr>
              <w:t>Design pressure</w:t>
            </w:r>
          </w:p>
        </w:tc>
        <w:tc>
          <w:tcPr>
            <w:tcW w:type="dxa" w:w="5328"/>
            <w:shd w:val="clear" w:fill="3C3489"/>
          </w:tcPr>
          <w:p>
            <w:r/>
            <w:r>
              <w:rPr>
                <w:b/>
                <w:color w:val="FFFFFF"/>
                <w:sz w:val="20"/>
              </w:rPr>
              <w:t>Architectural response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Model does not know private or recent data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Retrieval-augmented generation (RAG) pipeline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Conversations span many turns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Short-term + long-term memory management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Model cannot take real-world actions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Tool / function calling, agent loop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Users will try to jailbreak or misuse it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Input moderation + output guardrails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Cost scales with tokens × traffic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Model cascading, semantic caching, prompt budgeting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Quality can silently drift over time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Logging, offline eval sets, feedback loop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2C2C2A"/>
        </w:rPr>
        <w:t>2. Orchestration layer</w:t>
      </w:r>
    </w:p>
    <w:p>
      <w:pPr>
        <w:spacing w:after="160"/>
      </w:pPr>
      <w:r>
        <w:rPr>
          <w:b w:val="0"/>
          <w:i w:val="0"/>
          <w:sz w:val="22"/>
        </w:rPr>
        <w:t>This is the actual “brain” of the system — and the part most naive implementations underweight. It decides, per query, whether retrieval is needed, whether a tool call is needed, and whether a cheap model can handle the turn or a flagship model is required. It is typically implemented as an explicit state machine or a ReAct-style loop (reason → act → observe → repeat), not as the LLM itself.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26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orchest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26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F5E5A"/>
          <w:sz w:val="19"/>
        </w:rPr>
        <w:t>Figure 2. Orchestration layer: three context sources converging into a single prompt.</w:t>
      </w:r>
    </w:p>
    <w:p>
      <w:pPr>
        <w:spacing w:after="160"/>
      </w:pPr>
      <w:r>
        <w:rPr>
          <w:b w:val="0"/>
          <w:i w:val="0"/>
          <w:sz w:val="22"/>
        </w:rPr>
        <w:t>The ReAct loop, concretely, looks like this: the model emits a Thought, takes an Action (a tool call), receives an Observation (the tool's result), and repeats until it has enough information for a Final Answer. The orchestrator parses each action, executes the actual function against the backend, and re-injects the result into context for the next call.</w:t>
      </w:r>
    </w:p>
    <w:p>
      <w:pPr>
        <w:spacing w:after="80"/>
      </w:pPr>
      <w:r>
        <w:rPr>
          <w:b w:val="0"/>
          <w:i w:val="0"/>
          <w:sz w:val="22"/>
        </w:rPr>
        <w:t>A key engineering decision here is explicit vs. implicit control: an explicit graph (fixed nodes, bounded transitions) is more predictable and easier to guardrail; a fully free-form agent loop is more flexible but harder to keep reliable and cheap. Most production systems converge on explicit graphs with local LLM decision-making inside each node.</w:t>
      </w:r>
    </w:p>
    <w:p>
      <w:pPr>
        <w:spacing w:after="160"/>
      </w:pPr>
      <w:r>
        <w:rPr>
          <w:b w:val="0"/>
          <w:i w:val="0"/>
          <w:sz w:val="22"/>
        </w:rPr>
        <w:t>Model cascading also lives in this layer: a lightweight router (often a fine-tuned small classifier, near-zero cost) tags each query by complexity, and only “hard” queries reach the expensive model. Because real-world query distributions are heavily skewed toward simple, repetitive intents, this alone commonly cuts inference cost by 40–70%.</w:t>
      </w:r>
    </w:p>
    <w:p>
      <w:pPr>
        <w:pStyle w:val="Heading1"/>
      </w:pPr>
      <w:r>
        <w:rPr>
          <w:color w:val="2C2C2A"/>
        </w:rPr>
        <w:t>3. Memory architecture</w:t>
      </w:r>
    </w:p>
    <w:p>
      <w:pPr>
        <w:pStyle w:val="ListBullet"/>
        <w:spacing w:after="80"/>
      </w:pPr>
      <w:r>
        <w:rPr>
          <w:b/>
        </w:rPr>
        <w:t xml:space="preserve">Short-term (working memory). </w:t>
      </w:r>
      <w:r>
        <w:t>Concatenating the full history breaks down fast — context windows fill and cost scales with every resent token. Production systems use a sliding window (keep the last N turns verbatim), rolling summarization (compress older turns via a separate LLM call every 5–10 turns), or token-budgeted truncation.</w:t>
      </w:r>
    </w:p>
    <w:p>
      <w:pPr>
        <w:pStyle w:val="ListBullet"/>
        <w:spacing w:after="80"/>
      </w:pPr>
      <w:r>
        <w:rPr>
          <w:b/>
        </w:rPr>
        <w:t xml:space="preserve">Long-term (persistent memory). </w:t>
      </w:r>
      <w:r>
        <w:t>Stored outside the conversation, keyed by user ID. Structured facts (name, tier, preferences) belong in a key-value or relational store and are fetched deterministically — not put in a vector DB. Episodic memory (“user complained about billing last month”) is embedded and retrieved via similarity search, using the same mechanism as RAG.</w:t>
      </w:r>
    </w:p>
    <w:p>
      <w:pPr>
        <w:pStyle w:val="ListBullet"/>
        <w:spacing w:after="80"/>
      </w:pPr>
      <w:r>
        <w:rPr>
          <w:b/>
        </w:rPr>
        <w:t xml:space="preserve">Write policy. </w:t>
      </w:r>
      <w:r>
        <w:t>Matters as much as read policy. A separate process — often an LLM call at the end of a conversation — decides what is actually worth remembering; without this, long-term memory fills with noise and retrieval precision degrades.</w:t>
      </w:r>
    </w:p>
    <w:p>
      <w:pPr>
        <w:pStyle w:val="Heading1"/>
      </w:pPr>
      <w:r>
        <w:rPr>
          <w:color w:val="2C2C2A"/>
        </w:rPr>
        <w:t>4. Retrieval-augmented generation (RAG)</w:t>
      </w:r>
    </w:p>
    <w:p>
      <w:pPr>
        <w:spacing w:after="160"/>
      </w:pPr>
      <w:r>
        <w:rPr>
          <w:b w:val="0"/>
          <w:i w:val="0"/>
          <w:sz w:val="22"/>
        </w:rPr>
        <w:t>This is usually the single highest-leverage component, and the one that determines whether the bot feels grounded or hallucinates. It runs in two distinct phases: an offline ingestion pipeline that builds the index, and an online query-time pipeline that uses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12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ra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2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F5E5A"/>
          <w:sz w:val="19"/>
        </w:rPr>
        <w:t>Figure 3. Retrieval-augmented generation pipeline — ingestion (offline) and query time (online).</w:t>
      </w:r>
    </w:p>
    <w:p>
      <w:pPr>
        <w:spacing w:after="40"/>
      </w:pPr>
      <w:r>
        <w:rPr>
          <w:b/>
          <w:i w:val="0"/>
          <w:sz w:val="22"/>
        </w:rPr>
        <w:t>Ingestion pipeline</w:t>
      </w:r>
    </w:p>
    <w:p>
      <w:pPr>
        <w:pStyle w:val="ListBullet"/>
        <w:spacing w:after="80"/>
      </w:pPr>
      <w:r>
        <w:rPr>
          <w:b/>
        </w:rPr>
        <w:t xml:space="preserve">Chunking. </w:t>
      </w:r>
      <w:r>
        <w:t>Naive fixed-size chunking (e.g. 512 tokens) is a common baseline but hurts recall on structured documents. Semantic chunking (splitting on section/header boundaries) or recursive character splitting with 10–20% overlap avoids cutting facts mid-sentence.</w:t>
      </w:r>
    </w:p>
    <w:p>
      <w:pPr>
        <w:pStyle w:val="ListBullet"/>
        <w:spacing w:after="80"/>
      </w:pPr>
      <w:r>
        <w:rPr>
          <w:b/>
        </w:rPr>
        <w:t xml:space="preserve">Embedding. </w:t>
      </w:r>
      <w:r>
        <w:t>Domain matters. General-purpose embedding models (OpenAI text-embedding-3, BGE-large, E5-Mistral) work for general text, but contrastive fine-tuning of the embedding model on the organization's own query-document pairs often gives bigger accuracy gains than swapping the generator model.</w:t>
      </w:r>
    </w:p>
    <w:p>
      <w:pPr>
        <w:pStyle w:val="ListBullet"/>
        <w:spacing w:after="80"/>
      </w:pPr>
      <w:r>
        <w:rPr>
          <w:b/>
        </w:rPr>
        <w:t xml:space="preserve">Indexing. </w:t>
      </w:r>
      <w:r>
        <w:t>A vector database (pgvector at smaller scale; Pinecone, Weaviate, or Milvus at larger scale) stores vectors alongside metadata (source, timestamp, access permissions) for filtering.</w:t>
      </w:r>
    </w:p>
    <w:p>
      <w:pPr>
        <w:spacing w:after="40"/>
      </w:pPr>
      <w:r>
        <w:rPr>
          <w:b/>
          <w:i w:val="0"/>
          <w:sz w:val="22"/>
        </w:rPr>
        <w:t>Query-time pipeline</w:t>
      </w:r>
    </w:p>
    <w:p>
      <w:pPr>
        <w:pStyle w:val="ListBullet"/>
        <w:spacing w:after="80"/>
      </w:pPr>
      <w:r>
        <w:rPr>
          <w:b/>
        </w:rPr>
        <w:t xml:space="preserve">Hybrid search. </w:t>
      </w:r>
      <w:r>
        <w:t>Dense vector similarity alone underperforms on exact-match cases (SKUs, names, numbers). Combining it with sparse retrieval (BM25) and fusing the rankings (Reciprocal Rank Fusion) is typically the single largest recall improvement available.</w:t>
      </w:r>
    </w:p>
    <w:p>
      <w:pPr>
        <w:pStyle w:val="ListBullet"/>
        <w:spacing w:after="80"/>
      </w:pPr>
      <w:r>
        <w:rPr>
          <w:b/>
        </w:rPr>
        <w:t xml:space="preserve">Re-ranking. </w:t>
      </w:r>
      <w:r>
        <w:t>Retrieve the top-50 candidates cheaply via vector search, then re-rank with a cross-encoder (BGE-reranker, Cohere Rerank) to surface the true top-5. Cross-encoders score query and document jointly and are far more accurate than cosine similarity, but too slow to run over an entire corpus — hence the two-stage retrieve-then-rerank pattern.</w:t>
      </w:r>
    </w:p>
    <w:p>
      <w:pPr>
        <w:pStyle w:val="ListBullet"/>
        <w:spacing w:after="80"/>
      </w:pPr>
      <w:r>
        <w:rPr>
          <w:b/>
        </w:rPr>
        <w:t xml:space="preserve">Context injection with citations. </w:t>
      </w:r>
      <w:r>
        <w:t>Retrieved chunks are injected with source tags, and the model is explicitly instructed to answer only from the provided context and cite its sources — this is what the output-side faithfulness check (Section 7) verifies against.</w:t>
      </w:r>
    </w:p>
    <w:p>
      <w:pPr>
        <w:spacing w:after="160"/>
      </w:pPr>
      <w:r>
        <w:rPr>
          <w:b w:val="0"/>
          <w:i w:val="0"/>
          <w:sz w:val="22"/>
        </w:rPr>
        <w:t>Failure mode to design against: retrieval can return chunks that are technically similar but contextually wrong, and models attend less reliably to content buried in the middle of a long prompt (the “lost in the middle” effect). The mitigation is to keep injected context short and highly relevant rather than maximizing how much is stuffed in.</w:t>
      </w:r>
    </w:p>
    <w:p>
      <w:pPr>
        <w:pStyle w:val="Heading1"/>
      </w:pPr>
      <w:r>
        <w:rPr>
          <w:color w:val="2C2C2A"/>
        </w:rPr>
        <w:t>5. Tool use / function calling</w:t>
      </w:r>
    </w:p>
    <w:p>
      <w:pPr>
        <w:spacing w:after="160"/>
      </w:pPr>
      <w:r>
        <w:rPr>
          <w:b w:val="0"/>
          <w:i w:val="0"/>
          <w:sz w:val="22"/>
        </w:rPr>
        <w:t>For anything the LLM cannot know or compute reliably — live data (order status, weather), calculators, code execution, third-party APIs — the model emits a structured call against a JSON schema, the orchestrator executes it, and the result is fed back into context.</w:t>
      </w:r>
    </w:p>
    <w:p>
      <w:pPr>
        <w:pStyle w:val="ListBullet"/>
        <w:spacing w:after="80"/>
      </w:pPr>
      <w:r>
        <w:rPr>
          <w:b/>
        </w:rPr>
        <w:t xml:space="preserve">Schema validation. </w:t>
      </w:r>
      <w:r>
        <w:t>Always validate emitted arguments against the schema before execution; models hallucinate malformed or out-of-range arguments more often than expected.</w:t>
      </w:r>
    </w:p>
    <w:p>
      <w:pPr>
        <w:pStyle w:val="ListBullet"/>
        <w:spacing w:after="80"/>
      </w:pPr>
      <w:r>
        <w:rPr>
          <w:b/>
        </w:rPr>
        <w:t xml:space="preserve">Confirmation checkpoints. </w:t>
      </w:r>
      <w:r>
        <w:t>For destructive or irreversible actions (cancel an order, send an email), insert a human-confirmation step — never let an agent loop execute side-effecting actions autonomously.</w:t>
      </w:r>
    </w:p>
    <w:p>
      <w:pPr>
        <w:pStyle w:val="ListBullet"/>
        <w:spacing w:after="80"/>
      </w:pPr>
      <w:r>
        <w:rPr>
          <w:b/>
        </w:rPr>
        <w:t xml:space="preserve">Result truncation. </w:t>
      </w:r>
      <w:r>
        <w:t>API responses can be large (a full database row, a long log); summarize or filter before feeding back into context, or the token budget for the next turn is blown.</w:t>
      </w:r>
    </w:p>
    <w:p>
      <w:pPr>
        <w:pStyle w:val="Heading1"/>
      </w:pPr>
      <w:r>
        <w:rPr>
          <w:color w:val="2C2C2A"/>
        </w:rPr>
        <w:t>6. Prompt assembly</w:t>
      </w:r>
    </w:p>
    <w:p>
      <w:pPr>
        <w:spacing w:after="160"/>
      </w:pPr>
      <w:r>
        <w:rPr>
          <w:b w:val="0"/>
          <w:i w:val="0"/>
          <w:sz w:val="22"/>
        </w:rPr>
        <w:t>The unglamorous step that determines output quality more than people expect. Well-architected systems treat prompts as versioned, tested artifacts rather than inline strings: a system prompt template (persona, tone, hard constraints, refusal policy) versioned separately from application code, assembled in a deterministic order — system prompt, long-term memory facts, retrieved RAG chunks, conversation summary, recent turns, current query, tool schemas — with instructions closest to the query typically followed most reliably. Token budget allocation is a real constraint: of a 16K context window, a system might reserve 2K for the system prompt, 4K for RAG context, and 6K for history, leaving headroom for output.</w:t>
      </w:r>
    </w:p>
    <w:p>
      <w:pPr>
        <w:pStyle w:val="Heading1"/>
      </w:pPr>
      <w:r>
        <w:rPr>
          <w:color w:val="2C2C2A"/>
        </w:rPr>
        <w:t>7. LLM core — model selection and serving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fill="3C3489"/>
          </w:tcPr>
          <w:p>
            <w:r/>
            <w:r>
              <w:rPr>
                <w:b/>
                <w:color w:val="FFFFFF"/>
                <w:sz w:val="20"/>
              </w:rPr>
              <w:t>Factor</w:t>
            </w:r>
          </w:p>
        </w:tc>
        <w:tc>
          <w:tcPr>
            <w:tcW w:type="dxa" w:w="3384"/>
            <w:shd w:val="clear" w:fill="3C3489"/>
          </w:tcPr>
          <w:p>
            <w:r/>
            <w:r>
              <w:rPr>
                <w:b/>
                <w:color w:val="FFFFFF"/>
                <w:sz w:val="20"/>
              </w:rPr>
              <w:t>Hosted API (GPT / Claude / Gemini)</w:t>
            </w:r>
          </w:p>
        </w:tc>
        <w:tc>
          <w:tcPr>
            <w:tcW w:type="dxa" w:w="3384"/>
            <w:shd w:val="clear" w:fill="3C3489"/>
          </w:tcPr>
          <w:p>
            <w:r/>
            <w:r>
              <w:rPr>
                <w:b/>
                <w:color w:val="FFFFFF"/>
                <w:sz w:val="20"/>
              </w:rPr>
              <w:t>Self-hosted open-weight (Llama, Mistral, Qwen)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Time to production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Fast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Slower — infra and serving stack required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Data residency / compliance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Depends on vendor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Full control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Cost at scale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Per-token, can get expensive at high volume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Fixed infra cost, cheaper at very high volume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Fine-tuning flexibility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Limited to API-based fine-tuning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Full — LoRA/QLoRA or full fine-tune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Quality ceiling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Generally higher on frontier models</w:t>
            </w:r>
          </w:p>
        </w:tc>
        <w:tc>
          <w:tcPr>
            <w:tcW w:type="dxa" w:w="3384"/>
          </w:tcPr>
          <w:p>
            <w:r/>
            <w:r>
              <w:rPr>
                <w:sz w:val="19"/>
              </w:rPr>
              <w:t>Closing gap, still often behind on complex reasoning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0"/>
          <w:i w:val="0"/>
          <w:sz w:val="22"/>
        </w:rPr>
        <w:t>Self-hosted serving uses inference engines built for throughput — vLLM or TGI — which implement continuous batching and PagedAttention against a shared KV cache; this is the difference between a naive Hugging Face generate() call and something that can actually serve production traffic.</w:t>
      </w:r>
    </w:p>
    <w:p>
      <w:pPr>
        <w:spacing w:after="160"/>
      </w:pPr>
      <w:r>
        <w:rPr>
          <w:b w:val="0"/>
          <w:i w:val="0"/>
          <w:sz w:val="22"/>
        </w:rPr>
        <w:t>The decision that gets confused most often is fine-tuning vs. prompting vs. RAG: use RAG when the model needs to know facts (fine-tuning does not reliably teach fact recall, and facts go stale); use light fine-tuning or strong system prompting when a specific tone or format is needed consistently; reserve fine-tuning for narrow task specialization, such as structured extraction from a fixed document type.</w:t>
      </w:r>
    </w:p>
    <w:p>
      <w:pPr>
        <w:pStyle w:val="Heading1"/>
      </w:pPr>
      <w:r>
        <w:rPr>
          <w:color w:val="2C2C2A"/>
        </w:rPr>
        <w:t>8. Output guardrails</w:t>
      </w:r>
    </w:p>
    <w:p>
      <w:pPr>
        <w:spacing w:after="160"/>
      </w:pPr>
      <w:r>
        <w:rPr>
          <w:b w:val="0"/>
          <w:i w:val="0"/>
          <w:sz w:val="22"/>
        </w:rPr>
        <w:t>Two failure modes are caught after generation, separately from input-side moderation: a faithfulness check, where a secondary (often cheaper) LLM call verifies that the answer's claims are actually entailed by the retrieved context (the technique behind evaluation frameworks such as RAGAS), and policy/format validation — schema validation for structured output plus a moderation pass on the generated text itself, since models can be jailbroken into producing bad output even from a clean input.</w:t>
      </w:r>
    </w:p>
    <w:p>
      <w:pPr>
        <w:pStyle w:val="Heading1"/>
      </w:pPr>
      <w:r>
        <w:rPr>
          <w:color w:val="2C2C2A"/>
        </w:rPr>
        <w:t>9. Observability and evaluation loop</w:t>
      </w:r>
    </w:p>
    <w:p>
      <w:pPr>
        <w:spacing w:after="160"/>
      </w:pPr>
      <w:r>
        <w:rPr>
          <w:b w:val="0"/>
          <w:i w:val="0"/>
          <w:sz w:val="22"/>
        </w:rPr>
        <w:t>Invisible in demos, decisive in production. An offline evaluation set — a curated collection of representative queries with expected behavior — is re-run against every prompt or model change as a regression test. Key metrics include retrieval precision/recall@k, answer faithfulness, and latency percentiles (p50/p99 matter more than the average for perceived quality). Online signals — thumbs up/down, conversation abandonment, rephrase rate — feed back into prompt iteration and retrieval tuning. Semantic caching (matching by embedding similarity rather than exact string) cuts cost and latency on repeat questions, which is common in FAQ-heavy deployments.</w:t>
      </w:r>
    </w:p>
    <w:p>
      <w:pPr>
        <w:pStyle w:val="Heading1"/>
      </w:pPr>
      <w:r>
        <w:rPr>
          <w:color w:val="2C2C2A"/>
        </w:rPr>
        <w:t>10. Latency budget</w:t>
      </w:r>
    </w:p>
    <w:p>
      <w:pPr>
        <w:spacing w:after="160"/>
      </w:pPr>
      <w:r>
        <w:rPr>
          <w:b w:val="0"/>
          <w:i w:val="0"/>
          <w:sz w:val="22"/>
        </w:rPr>
        <w:t>Architecture, not just model choice, drives perceived responsiveness. A single RAG-backed turn breaks down roughly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val="clear" w:fill="3C3489"/>
          </w:tcPr>
          <w:p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744"/>
            <w:shd w:val="clear" w:fill="3C3489"/>
          </w:tcPr>
          <w:p>
            <w:r/>
            <w:r>
              <w:rPr>
                <w:b/>
                <w:color w:val="FFFFFF"/>
                <w:sz w:val="20"/>
              </w:rPr>
              <w:t>Typical latency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Moderation check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~50 ms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Query embedding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~30 ms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Vector search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~50 ms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Re-ranking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~100 ms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Prompt assembly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~5 ms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LLM generation (first token, streamed)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~300–800 ms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9"/>
              </w:rPr>
              <w:t>Time to first token (total)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~600–1000 ms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 w:val="0"/>
          <w:i w:val="0"/>
          <w:sz w:val="22"/>
        </w:rPr>
        <w:t>Every retrieval, re-ranking, or tool-call step adds serial latency unless parallelized — which is why token streaming (rendering output as it is generated, rather than waiting for the full response) is a first-class architectural requirement rather than a UI nicety.</w:t>
      </w:r>
    </w:p>
    <w:p>
      <w:pPr>
        <w:pStyle w:val="Heading1"/>
      </w:pPr>
      <w:r>
        <w:rPr>
          <w:color w:val="2C2C2A"/>
        </w:rPr>
        <w:t>Summary judgment</w:t>
      </w:r>
    </w:p>
    <w:p>
      <w:pPr>
        <w:spacing w:after="80"/>
      </w:pPr>
      <w:r>
        <w:t xml:space="preserve">In rough order of impact on perceived quality: retrieval quality (chunking, hybrid search, reranking) &gt; orchestration logic (routing, memory management) &gt; output guardrails &gt; base model choice. </w:t>
      </w:r>
      <w:r>
        <w:rPr>
          <w:i w:val="0"/>
        </w:rPr>
        <w:t>Teams consistently overinvest in swapping the base model and underinvest in the retrieval and memory layers — which is backwards, since those layers are what actually determine whether a chatbot feels grounded, consistent, and trustworthy across a real, multi-turn conversation.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