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F2E" w:rsidRDefault="000E1F2E" w:rsidP="000E1F2E">
      <w:pPr>
        <w:jc w:val="center"/>
        <w:rPr>
          <w:b/>
          <w:bCs/>
          <w:sz w:val="28"/>
          <w:szCs w:val="24"/>
        </w:rPr>
      </w:pPr>
      <w:r w:rsidRPr="000E1F2E">
        <w:rPr>
          <w:b/>
          <w:bCs/>
          <w:sz w:val="28"/>
          <w:szCs w:val="24"/>
        </w:rPr>
        <w:t>EDA insights</w:t>
      </w:r>
    </w:p>
    <w:p w:rsidR="000E1F2E" w:rsidRPr="000E1F2E" w:rsidRDefault="000E1F2E" w:rsidP="000E1F2E">
      <w:pPr>
        <w:jc w:val="center"/>
        <w:rPr>
          <w:b/>
          <w:bCs/>
          <w:sz w:val="28"/>
          <w:szCs w:val="24"/>
        </w:rPr>
      </w:pPr>
    </w:p>
    <w:p w:rsidR="000E1F2E" w:rsidRDefault="000E1F2E" w:rsidP="000E1F2E">
      <w:pPr>
        <w:pStyle w:val="ListParagraph"/>
        <w:numPr>
          <w:ilvl w:val="0"/>
          <w:numId w:val="1"/>
        </w:numPr>
      </w:pPr>
      <w:r w:rsidRPr="000E1F2E">
        <w:t xml:space="preserve">**Customer </w:t>
      </w:r>
      <w:proofErr w:type="gramStart"/>
      <w:r w:rsidRPr="000E1F2E">
        <w:t>Distribution:*</w:t>
      </w:r>
      <w:proofErr w:type="gramEnd"/>
      <w:r w:rsidRPr="000E1F2E">
        <w:t>* Customers are not evenly distributed across regions, with some regions having significantly more customers than others.  This suggests potential regional marketing opportunities or the need for region-specific strategies.</w:t>
      </w:r>
    </w:p>
    <w:p w:rsidR="000E1F2E" w:rsidRDefault="000E1F2E" w:rsidP="000E1F2E">
      <w:pPr>
        <w:pStyle w:val="ListParagraph"/>
      </w:pPr>
    </w:p>
    <w:p w:rsidR="000E1F2E" w:rsidRDefault="000E1F2E" w:rsidP="000E1F2E">
      <w:pPr>
        <w:pStyle w:val="ListParagraph"/>
      </w:pPr>
      <w:r>
        <w:rPr>
          <w:noProof/>
        </w:rPr>
        <w:drawing>
          <wp:inline distT="0" distB="0" distL="0" distR="0">
            <wp:extent cx="5135880" cy="4160520"/>
            <wp:effectExtent l="0" t="0" r="7620" b="0"/>
            <wp:docPr id="1" name="Picture 1" descr="C:\Users\hp\AppData\Local\Microsoft\Windows\INetCache\Content.MSO\42BECF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42BECF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2E" w:rsidRPr="000E1F2E" w:rsidRDefault="000E1F2E" w:rsidP="000E1F2E">
      <w:pPr>
        <w:pStyle w:val="ListParagraph"/>
      </w:pPr>
    </w:p>
    <w:p w:rsidR="000E1F2E" w:rsidRPr="000E1F2E" w:rsidRDefault="000E1F2E" w:rsidP="000E1F2E"/>
    <w:p w:rsidR="000E1F2E" w:rsidRDefault="000E1F2E" w:rsidP="000E1F2E">
      <w:pPr>
        <w:pStyle w:val="ListParagraph"/>
        <w:numPr>
          <w:ilvl w:val="0"/>
          <w:numId w:val="1"/>
        </w:numPr>
      </w:pPr>
      <w:r w:rsidRPr="000E1F2E">
        <w:t xml:space="preserve">**Product Category </w:t>
      </w:r>
      <w:proofErr w:type="gramStart"/>
      <w:r w:rsidRPr="000E1F2E">
        <w:t>Popularity:*</w:t>
      </w:r>
      <w:proofErr w:type="gramEnd"/>
      <w:r w:rsidRPr="000E1F2E">
        <w:t>* Certain product categories are more popular than others. Understanding the proportions of each category can inform inventory management, pricing strategies, and marketing campaigns.</w:t>
      </w:r>
    </w:p>
    <w:p w:rsidR="000E1F2E" w:rsidRPr="000E1F2E" w:rsidRDefault="000E1F2E" w:rsidP="000E1F2E">
      <w:r>
        <w:rPr>
          <w:noProof/>
        </w:rPr>
        <w:lastRenderedPageBreak/>
        <w:drawing>
          <wp:inline distT="0" distB="0" distL="0" distR="0">
            <wp:extent cx="5219700" cy="4678680"/>
            <wp:effectExtent l="0" t="0" r="0" b="7620"/>
            <wp:docPr id="2" name="Picture 2" descr="C:\Users\hp\AppData\Local\Microsoft\Windows\INetCache\Content.MSO\E4ABDD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E4ABDDA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2E" w:rsidRPr="000E1F2E" w:rsidRDefault="000E1F2E" w:rsidP="000E1F2E"/>
    <w:p w:rsidR="000E1F2E" w:rsidRDefault="000E1F2E" w:rsidP="00930FF9">
      <w:pPr>
        <w:pStyle w:val="ListParagraph"/>
        <w:numPr>
          <w:ilvl w:val="0"/>
          <w:numId w:val="1"/>
        </w:numPr>
      </w:pPr>
      <w:r w:rsidRPr="000E1F2E">
        <w:t xml:space="preserve">**High-Value Transactions and </w:t>
      </w:r>
      <w:proofErr w:type="gramStart"/>
      <w:r w:rsidRPr="000E1F2E">
        <w:t>Products:*</w:t>
      </w:r>
      <w:proofErr w:type="gramEnd"/>
      <w:r w:rsidRPr="000E1F2E">
        <w:t>* Identifying the top 10 highest-value transactions and the 5 most expensive products can provide insights into high-profit areas and potential areas for upselling or cross-selling.</w:t>
      </w:r>
    </w:p>
    <w:p w:rsidR="00930FF9" w:rsidRDefault="00930FF9" w:rsidP="00930FF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930FF9" w:rsidRDefault="00930FF9" w:rsidP="00930FF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:rsidR="00930FF9" w:rsidRDefault="00930FF9" w:rsidP="00930FF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5 Most expensive product</w:t>
      </w:r>
    </w:p>
    <w:p w:rsidR="00930FF9" w:rsidRPr="00930FF9" w:rsidRDefault="00930FF9" w:rsidP="00930FF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</w:t>
      </w:r>
      <w:proofErr w:type="spell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ProductID</w:t>
      </w:r>
      <w:proofErr w:type="spellEnd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          ProductName     Category   Price</w:t>
      </w:r>
    </w:p>
    <w:p w:rsidR="00930FF9" w:rsidRPr="00930FF9" w:rsidRDefault="00930FF9" w:rsidP="00930FF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74      P075      </w:t>
      </w:r>
      <w:proofErr w:type="spell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TechPro</w:t>
      </w:r>
      <w:proofErr w:type="spellEnd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Textbook        </w:t>
      </w:r>
      <w:proofErr w:type="gram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Books  497.76</w:t>
      </w:r>
      <w:proofErr w:type="gramEnd"/>
    </w:p>
    <w:p w:rsidR="00930FF9" w:rsidRPr="00930FF9" w:rsidRDefault="00930FF9" w:rsidP="00930FF9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31      P032    </w:t>
      </w:r>
      <w:proofErr w:type="spell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BookWorld</w:t>
      </w:r>
      <w:proofErr w:type="spellEnd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Cookbook        </w:t>
      </w:r>
      <w:proofErr w:type="gram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Books  488.63</w:t>
      </w:r>
      <w:proofErr w:type="gramEnd"/>
    </w:p>
    <w:p w:rsidR="00930FF9" w:rsidRPr="00930FF9" w:rsidRDefault="00930FF9" w:rsidP="00930FF9">
      <w:pPr>
        <w:pStyle w:val="ListParagraph"/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44      P045     </w:t>
      </w:r>
      <w:proofErr w:type="spell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SoundWave</w:t>
      </w:r>
      <w:proofErr w:type="spellEnd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T-Shirt     </w:t>
      </w:r>
      <w:proofErr w:type="gram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Clothing  481.78</w:t>
      </w:r>
      <w:proofErr w:type="gramEnd"/>
    </w:p>
    <w:p w:rsidR="00930FF9" w:rsidRPr="00930FF9" w:rsidRDefault="00930FF9" w:rsidP="00930FF9">
      <w:pPr>
        <w:pStyle w:val="ListParagraph"/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16      P017   </w:t>
      </w:r>
      <w:proofErr w:type="spell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ActiveWear</w:t>
      </w:r>
      <w:proofErr w:type="spellEnd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Textbook        </w:t>
      </w:r>
      <w:proofErr w:type="gram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Books  469.77</w:t>
      </w:r>
      <w:proofErr w:type="gramEnd"/>
    </w:p>
    <w:p w:rsidR="00930FF9" w:rsidRDefault="00930FF9" w:rsidP="00930FF9">
      <w:pPr>
        <w:pStyle w:val="ListParagraph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36      P</w:t>
      </w:r>
      <w:proofErr w:type="gram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037  </w:t>
      </w:r>
      <w:proofErr w:type="spellStart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>SoundWave</w:t>
      </w:r>
      <w:proofErr w:type="spellEnd"/>
      <w:proofErr w:type="gramEnd"/>
      <w:r w:rsidRPr="00930FF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  <w:t xml:space="preserve"> Smartwatch  Electronics  459.86</w:t>
      </w: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Default="00930FF9" w:rsidP="00930FF9">
      <w:pPr>
        <w:pStyle w:val="ListParagraph"/>
      </w:pPr>
    </w:p>
    <w:p w:rsidR="00930FF9" w:rsidRPr="00930FF9" w:rsidRDefault="00930FF9" w:rsidP="00930FF9">
      <w:pPr>
        <w:pStyle w:val="ListParagraph"/>
        <w:rPr>
          <w:b/>
          <w:bCs/>
          <w:sz w:val="24"/>
          <w:szCs w:val="22"/>
        </w:rPr>
      </w:pPr>
      <w:r w:rsidRPr="00930FF9">
        <w:rPr>
          <w:b/>
          <w:bCs/>
          <w:sz w:val="24"/>
          <w:szCs w:val="22"/>
        </w:rPr>
        <w:t>Top 10 highest value transaction</w:t>
      </w:r>
    </w:p>
    <w:p w:rsidR="00930FF9" w:rsidRPr="00930FF9" w:rsidRDefault="00930FF9" w:rsidP="00930FF9">
      <w:proofErr w:type="spellStart"/>
      <w:proofErr w:type="gramStart"/>
      <w:r w:rsidRPr="00930FF9">
        <w:t>TransactionID</w:t>
      </w:r>
      <w:proofErr w:type="spellEnd"/>
      <w:r>
        <w:t xml:space="preserve"> </w:t>
      </w:r>
      <w:r w:rsidRPr="00930FF9">
        <w:t xml:space="preserve"> </w:t>
      </w:r>
      <w:proofErr w:type="spellStart"/>
      <w:r w:rsidRPr="00930FF9">
        <w:t>CustomerID</w:t>
      </w:r>
      <w:proofErr w:type="spellEnd"/>
      <w:proofErr w:type="gramEnd"/>
      <w:r w:rsidRPr="00930FF9">
        <w:t xml:space="preserve"> </w:t>
      </w:r>
      <w:r>
        <w:t xml:space="preserve">  </w:t>
      </w:r>
      <w:proofErr w:type="spellStart"/>
      <w:r w:rsidRPr="00930FF9">
        <w:t>ProductID</w:t>
      </w:r>
      <w:proofErr w:type="spellEnd"/>
      <w:r w:rsidRPr="00930FF9">
        <w:t xml:space="preserve">   </w:t>
      </w:r>
      <w:r>
        <w:t xml:space="preserve"> </w:t>
      </w:r>
      <w:proofErr w:type="spellStart"/>
      <w:r w:rsidRPr="00930FF9">
        <w:t>TransactionDate</w:t>
      </w:r>
      <w:proofErr w:type="spellEnd"/>
      <w:r w:rsidRPr="00930FF9">
        <w:t xml:space="preserve"> </w:t>
      </w:r>
      <w:r>
        <w:t xml:space="preserve">  </w:t>
      </w:r>
      <w:r w:rsidRPr="00930FF9">
        <w:t xml:space="preserve"> Quantity  \</w:t>
      </w:r>
    </w:p>
    <w:p w:rsidR="00930FF9" w:rsidRPr="00930FF9" w:rsidRDefault="00930FF9" w:rsidP="00930FF9">
      <w:pPr>
        <w:pStyle w:val="ListParagraph"/>
      </w:pPr>
      <w:r w:rsidRPr="00930FF9">
        <w:t xml:space="preserve">879        T00928      C0082      P075 2024-09-06 </w:t>
      </w:r>
      <w:r>
        <w:t xml:space="preserve">  </w:t>
      </w:r>
      <w:r w:rsidRPr="00930FF9">
        <w:t xml:space="preserve">18:39:07         4   </w:t>
      </w:r>
    </w:p>
    <w:p w:rsidR="00930FF9" w:rsidRPr="00930FF9" w:rsidRDefault="00930FF9" w:rsidP="00930FF9">
      <w:pPr>
        <w:pStyle w:val="ListParagraph"/>
      </w:pPr>
      <w:r w:rsidRPr="00930FF9">
        <w:t xml:space="preserve">509        T00499      C0065      P032 2024-07-18 </w:t>
      </w:r>
      <w:r>
        <w:t xml:space="preserve">  </w:t>
      </w:r>
      <w:r w:rsidRPr="00930FF9">
        <w:t xml:space="preserve">02:51:22         4   </w:t>
      </w:r>
    </w:p>
    <w:p w:rsidR="00930FF9" w:rsidRPr="00930FF9" w:rsidRDefault="00930FF9" w:rsidP="00930FF9">
      <w:pPr>
        <w:pStyle w:val="ListParagraph"/>
      </w:pPr>
      <w:r w:rsidRPr="00930FF9">
        <w:t xml:space="preserve">971        T00307      C0044      P045 2024-05-30 </w:t>
      </w:r>
      <w:r>
        <w:t xml:space="preserve">  </w:t>
      </w:r>
      <w:r w:rsidRPr="00930FF9">
        <w:t xml:space="preserve">18:15:28         4   </w:t>
      </w:r>
    </w:p>
    <w:p w:rsidR="00930FF9" w:rsidRPr="00930FF9" w:rsidRDefault="00930FF9" w:rsidP="00930FF9">
      <w:pPr>
        <w:pStyle w:val="ListParagraph"/>
      </w:pPr>
      <w:r w:rsidRPr="00930FF9">
        <w:t xml:space="preserve">560        T00070      C0051      P017 2024-12-11 </w:t>
      </w:r>
      <w:r>
        <w:t xml:space="preserve">  </w:t>
      </w:r>
      <w:r w:rsidRPr="00930FF9">
        <w:t xml:space="preserve">13:46:30         4   </w:t>
      </w:r>
    </w:p>
    <w:p w:rsidR="00930FF9" w:rsidRPr="00930FF9" w:rsidRDefault="00930FF9" w:rsidP="00930FF9">
      <w:pPr>
        <w:pStyle w:val="ListParagraph"/>
      </w:pPr>
      <w:r w:rsidRPr="00930FF9">
        <w:t xml:space="preserve">562        T00224      C0171      P017 2024-07-06 </w:t>
      </w:r>
      <w:r>
        <w:t xml:space="preserve">  </w:t>
      </w:r>
      <w:r w:rsidRPr="00930FF9">
        <w:t xml:space="preserve">23:53:24         4   </w:t>
      </w:r>
    </w:p>
    <w:p w:rsidR="00930FF9" w:rsidRPr="00930FF9" w:rsidRDefault="00930FF9" w:rsidP="00930FF9">
      <w:pPr>
        <w:pStyle w:val="ListParagraph"/>
      </w:pPr>
      <w:r w:rsidRPr="00930FF9">
        <w:t xml:space="preserve">565        T00503      C0013      P017 2024-07-26 </w:t>
      </w:r>
      <w:r>
        <w:t xml:space="preserve">  </w:t>
      </w:r>
      <w:r w:rsidRPr="00930FF9">
        <w:t xml:space="preserve">00:21:59         4   </w:t>
      </w:r>
    </w:p>
    <w:p w:rsidR="00930FF9" w:rsidRPr="00930FF9" w:rsidRDefault="00930FF9" w:rsidP="00930FF9">
      <w:pPr>
        <w:pStyle w:val="ListParagraph"/>
      </w:pPr>
      <w:r w:rsidRPr="00930FF9">
        <w:t xml:space="preserve">566        T00558      C0169      P017 2024-11-29 </w:t>
      </w:r>
      <w:r>
        <w:t xml:space="preserve">  </w:t>
      </w:r>
      <w:r w:rsidRPr="00930FF9">
        <w:t xml:space="preserve">23:39:00         4   </w:t>
      </w:r>
    </w:p>
    <w:p w:rsidR="00930FF9" w:rsidRPr="00930FF9" w:rsidRDefault="00930FF9" w:rsidP="00930FF9">
      <w:pPr>
        <w:pStyle w:val="ListParagraph"/>
      </w:pPr>
      <w:r w:rsidRPr="00930FF9">
        <w:t xml:space="preserve">997        T00922      C0018      P037 2024-04-05 </w:t>
      </w:r>
      <w:r>
        <w:t xml:space="preserve">  </w:t>
      </w:r>
      <w:r w:rsidRPr="00930FF9">
        <w:t xml:space="preserve">13:05:32         4   </w:t>
      </w:r>
    </w:p>
    <w:p w:rsidR="00930FF9" w:rsidRPr="00930FF9" w:rsidRDefault="00930FF9" w:rsidP="00930FF9">
      <w:pPr>
        <w:pStyle w:val="ListParagraph"/>
      </w:pPr>
      <w:r w:rsidRPr="00930FF9">
        <w:t xml:space="preserve">118        T00012      C0091      P041 2024-03-29 </w:t>
      </w:r>
      <w:r>
        <w:t xml:space="preserve">  </w:t>
      </w:r>
      <w:r w:rsidRPr="00930FF9">
        <w:t xml:space="preserve">01:28:17         4   </w:t>
      </w:r>
    </w:p>
    <w:p w:rsidR="00930FF9" w:rsidRPr="00930FF9" w:rsidRDefault="00930FF9" w:rsidP="00930FF9">
      <w:pPr>
        <w:pStyle w:val="ListParagraph"/>
      </w:pPr>
      <w:r w:rsidRPr="00930FF9">
        <w:t xml:space="preserve">119        T00034      C0168      P041 2024-01-09 </w:t>
      </w:r>
      <w:r>
        <w:t xml:space="preserve">  </w:t>
      </w:r>
      <w:r w:rsidRPr="00930FF9">
        <w:t xml:space="preserve">11:00:50         4   </w:t>
      </w:r>
    </w:p>
    <w:p w:rsidR="00930FF9" w:rsidRPr="00930FF9" w:rsidRDefault="00930FF9" w:rsidP="00930FF9">
      <w:pPr>
        <w:pStyle w:val="ListParagraph"/>
        <w:jc w:val="center"/>
      </w:pPr>
    </w:p>
    <w:p w:rsidR="00930FF9" w:rsidRPr="00930FF9" w:rsidRDefault="00930FF9" w:rsidP="00930FF9">
      <w:pPr>
        <w:pStyle w:val="ListParagraph"/>
        <w:jc w:val="center"/>
      </w:pPr>
      <w:proofErr w:type="spellStart"/>
      <w:r w:rsidRPr="00930FF9">
        <w:t>TotalValue</w:t>
      </w:r>
      <w:proofErr w:type="spellEnd"/>
      <w:r w:rsidRPr="00930FF9">
        <w:t xml:space="preserve">  </w:t>
      </w:r>
      <w:r>
        <w:t xml:space="preserve">      </w:t>
      </w:r>
      <w:r w:rsidRPr="00930FF9">
        <w:t xml:space="preserve"> Price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879     </w:t>
      </w:r>
      <w:proofErr w:type="gramStart"/>
      <w:r w:rsidRPr="00930FF9">
        <w:t>1991.04  497.76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509     </w:t>
      </w:r>
      <w:proofErr w:type="gramStart"/>
      <w:r w:rsidRPr="00930FF9">
        <w:t>1954.52  488.63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971     </w:t>
      </w:r>
      <w:proofErr w:type="gramStart"/>
      <w:r w:rsidRPr="00930FF9">
        <w:t>1927.12  481.78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560     </w:t>
      </w:r>
      <w:proofErr w:type="gramStart"/>
      <w:r w:rsidRPr="00930FF9">
        <w:t>1879.08  469.77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562     </w:t>
      </w:r>
      <w:proofErr w:type="gramStart"/>
      <w:r w:rsidRPr="00930FF9">
        <w:t>1879.08  469.77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565     </w:t>
      </w:r>
      <w:proofErr w:type="gramStart"/>
      <w:r w:rsidRPr="00930FF9">
        <w:t>1879.08  469.77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566     </w:t>
      </w:r>
      <w:proofErr w:type="gramStart"/>
      <w:r w:rsidRPr="00930FF9">
        <w:t>1879.08  469.77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997     </w:t>
      </w:r>
      <w:proofErr w:type="gramStart"/>
      <w:r w:rsidRPr="00930FF9">
        <w:t>1839.44  459.86</w:t>
      </w:r>
      <w:proofErr w:type="gramEnd"/>
      <w:r w:rsidRPr="00930FF9">
        <w:t xml:space="preserve">  </w:t>
      </w:r>
    </w:p>
    <w:p w:rsidR="00930FF9" w:rsidRPr="00930FF9" w:rsidRDefault="00930FF9" w:rsidP="00930FF9">
      <w:pPr>
        <w:pStyle w:val="ListParagraph"/>
        <w:jc w:val="center"/>
      </w:pPr>
      <w:r w:rsidRPr="00930FF9">
        <w:t xml:space="preserve">118     </w:t>
      </w:r>
      <w:proofErr w:type="gramStart"/>
      <w:r w:rsidRPr="00930FF9">
        <w:t>1825.12  456.28</w:t>
      </w:r>
      <w:proofErr w:type="gramEnd"/>
      <w:r w:rsidRPr="00930FF9">
        <w:t xml:space="preserve">  </w:t>
      </w:r>
    </w:p>
    <w:p w:rsidR="00930FF9" w:rsidRPr="000E1F2E" w:rsidRDefault="00930FF9" w:rsidP="00930FF9">
      <w:pPr>
        <w:pStyle w:val="ListParagraph"/>
        <w:jc w:val="center"/>
      </w:pPr>
      <w:r w:rsidRPr="00930FF9">
        <w:t xml:space="preserve">119     </w:t>
      </w:r>
      <w:proofErr w:type="gramStart"/>
      <w:r w:rsidRPr="00930FF9">
        <w:t>1825.12  456.28</w:t>
      </w:r>
      <w:proofErr w:type="gramEnd"/>
      <w:r w:rsidRPr="00930FF9">
        <w:t xml:space="preserve">  </w:t>
      </w:r>
      <w:r>
        <w:t xml:space="preserve"> </w:t>
      </w:r>
    </w:p>
    <w:p w:rsidR="000E1F2E" w:rsidRPr="000E1F2E" w:rsidRDefault="000E1F2E" w:rsidP="000E1F2E"/>
    <w:p w:rsidR="000E1F2E" w:rsidRDefault="000E1F2E" w:rsidP="000E1F2E">
      <w:r>
        <w:t xml:space="preserve">4. </w:t>
      </w:r>
      <w:r w:rsidRPr="000E1F2E">
        <w:t>**Customer Lifetime Value (CLV</w:t>
      </w:r>
      <w:proofErr w:type="gramStart"/>
      <w:r w:rsidRPr="000E1F2E">
        <w:t>):*</w:t>
      </w:r>
      <w:proofErr w:type="gramEnd"/>
      <w:r w:rsidRPr="000E1F2E">
        <w:t>*  A significant portion of the total revenue comes from a small number of high-CLV customers.  Focusing on retention strategies for these customers is crucial.</w:t>
      </w:r>
    </w:p>
    <w:p w:rsidR="000E1F2E" w:rsidRDefault="000E1F2E" w:rsidP="000E1F2E">
      <w:pPr>
        <w:pStyle w:val="ListParagraph"/>
      </w:pPr>
    </w:p>
    <w:p w:rsidR="000E1F2E" w:rsidRPr="000E1F2E" w:rsidRDefault="00930FF9" w:rsidP="00930FF9">
      <w:r>
        <w:t xml:space="preserve">     </w:t>
      </w:r>
      <w:proofErr w:type="spellStart"/>
      <w:r w:rsidR="000E1F2E" w:rsidRPr="000E1F2E">
        <w:t>CustomerID</w:t>
      </w:r>
      <w:proofErr w:type="spellEnd"/>
      <w:r>
        <w:t xml:space="preserve">     price</w:t>
      </w:r>
    </w:p>
    <w:p w:rsidR="000E1F2E" w:rsidRPr="000E1F2E" w:rsidRDefault="000E1F2E" w:rsidP="000E1F2E">
      <w:pPr>
        <w:pStyle w:val="ListParagraph"/>
      </w:pPr>
      <w:r w:rsidRPr="000E1F2E">
        <w:t>C0141    10673.87</w:t>
      </w:r>
    </w:p>
    <w:p w:rsidR="000E1F2E" w:rsidRPr="000E1F2E" w:rsidRDefault="000E1F2E" w:rsidP="000E1F2E">
      <w:pPr>
        <w:pStyle w:val="ListParagraph"/>
      </w:pPr>
      <w:r w:rsidRPr="000E1F2E">
        <w:t>C0054     8040.39</w:t>
      </w:r>
    </w:p>
    <w:p w:rsidR="000E1F2E" w:rsidRPr="000E1F2E" w:rsidRDefault="000E1F2E" w:rsidP="000E1F2E">
      <w:pPr>
        <w:pStyle w:val="ListParagraph"/>
      </w:pPr>
      <w:r w:rsidRPr="000E1F2E">
        <w:t>C0065     7663.70</w:t>
      </w:r>
    </w:p>
    <w:p w:rsidR="000E1F2E" w:rsidRPr="000E1F2E" w:rsidRDefault="000E1F2E" w:rsidP="000E1F2E">
      <w:pPr>
        <w:pStyle w:val="ListParagraph"/>
      </w:pPr>
      <w:r w:rsidRPr="000E1F2E">
        <w:t>C0156     7634.45</w:t>
      </w:r>
    </w:p>
    <w:p w:rsidR="000E1F2E" w:rsidRPr="000E1F2E" w:rsidRDefault="000E1F2E" w:rsidP="000E1F2E">
      <w:pPr>
        <w:pStyle w:val="ListParagraph"/>
      </w:pPr>
      <w:r w:rsidRPr="000E1F2E">
        <w:t>C0082     7572.91</w:t>
      </w:r>
    </w:p>
    <w:p w:rsidR="000E1F2E" w:rsidRPr="000E1F2E" w:rsidRDefault="000E1F2E" w:rsidP="000E1F2E">
      <w:pPr>
        <w:pStyle w:val="ListParagraph"/>
      </w:pPr>
      <w:r w:rsidRPr="000E1F2E">
        <w:t>C0188     7111.32</w:t>
      </w:r>
    </w:p>
    <w:p w:rsidR="000E1F2E" w:rsidRPr="000E1F2E" w:rsidRDefault="000E1F2E" w:rsidP="000E1F2E">
      <w:pPr>
        <w:pStyle w:val="ListParagraph"/>
      </w:pPr>
      <w:r w:rsidRPr="000E1F2E">
        <w:t>C0059     7073.28</w:t>
      </w:r>
    </w:p>
    <w:p w:rsidR="000E1F2E" w:rsidRPr="000E1F2E" w:rsidRDefault="000E1F2E" w:rsidP="000E1F2E">
      <w:pPr>
        <w:pStyle w:val="ListParagraph"/>
      </w:pPr>
      <w:r w:rsidRPr="000E1F2E">
        <w:t>C0028     6819.57</w:t>
      </w:r>
    </w:p>
    <w:p w:rsidR="000E1F2E" w:rsidRPr="000E1F2E" w:rsidRDefault="000E1F2E" w:rsidP="000E1F2E">
      <w:pPr>
        <w:pStyle w:val="ListParagraph"/>
      </w:pPr>
      <w:r w:rsidRPr="000E1F2E">
        <w:t>C0099     6715.72</w:t>
      </w:r>
    </w:p>
    <w:p w:rsidR="000E1F2E" w:rsidRPr="000E1F2E" w:rsidRDefault="000E1F2E" w:rsidP="000E1F2E">
      <w:pPr>
        <w:pStyle w:val="ListParagraph"/>
      </w:pPr>
      <w:r w:rsidRPr="000E1F2E">
        <w:t>C0165     6708.10</w:t>
      </w:r>
    </w:p>
    <w:p w:rsidR="000E1F2E" w:rsidRPr="000E1F2E" w:rsidRDefault="000E1F2E" w:rsidP="000E1F2E"/>
    <w:p w:rsidR="00930FF9" w:rsidRDefault="00930FF9" w:rsidP="000E1F2E"/>
    <w:p w:rsidR="00930FF9" w:rsidRDefault="00930FF9" w:rsidP="000E1F2E"/>
    <w:p w:rsidR="000E1F2E" w:rsidRDefault="000E1F2E" w:rsidP="000E1F2E">
      <w:bookmarkStart w:id="0" w:name="_GoBack"/>
      <w:bookmarkEnd w:id="0"/>
      <w:r>
        <w:t>5.</w:t>
      </w:r>
      <w:r w:rsidRPr="000E1F2E">
        <w:t xml:space="preserve">**Monthly Revenue </w:t>
      </w:r>
      <w:proofErr w:type="gramStart"/>
      <w:r w:rsidRPr="000E1F2E">
        <w:t>Trends:*</w:t>
      </w:r>
      <w:proofErr w:type="gramEnd"/>
      <w:r w:rsidRPr="000E1F2E">
        <w:t xml:space="preserve">* </w:t>
      </w:r>
      <w:proofErr w:type="spellStart"/>
      <w:r w:rsidRPr="000E1F2E">
        <w:t>Analyzing</w:t>
      </w:r>
      <w:proofErr w:type="spellEnd"/>
      <w:r w:rsidRPr="000E1F2E">
        <w:t xml:space="preserve"> monthly revenue trends reveals patterns in sales performance over time, which can help in forecasting and identifying potential seasonal effects or anomalies.</w:t>
      </w:r>
    </w:p>
    <w:p w:rsidR="000E1F2E" w:rsidRPr="000E1F2E" w:rsidRDefault="00930FF9" w:rsidP="000E1F2E">
      <w:r>
        <w:rPr>
          <w:noProof/>
        </w:rPr>
        <w:drawing>
          <wp:inline distT="0" distB="0" distL="0" distR="0">
            <wp:extent cx="5334000" cy="4305300"/>
            <wp:effectExtent l="0" t="0" r="0" b="0"/>
            <wp:docPr id="3" name="Picture 3" descr="C:\Users\hp\AppData\Local\Microsoft\Windows\INetCache\Content.MSO\AAD88C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AAD88C9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2E" w:rsidRDefault="000E1F2E" w:rsidP="000E1F2E">
      <w:r w:rsidRPr="000E1F2E">
        <w:t xml:space="preserve">6. **Correlation Between Transaction </w:t>
      </w:r>
      <w:proofErr w:type="gramStart"/>
      <w:r w:rsidRPr="000E1F2E">
        <w:t>Variables:*</w:t>
      </w:r>
      <w:proofErr w:type="gramEnd"/>
      <w:r w:rsidRPr="000E1F2E">
        <w:t>* The correlation matrix and heatmap can reveal relationships between numerical variables in the transactions data. For example, there might be a correlation between the quantity purchased and total value.</w:t>
      </w:r>
    </w:p>
    <w:p w:rsidR="00930FF9" w:rsidRPr="000E1F2E" w:rsidRDefault="00930FF9" w:rsidP="000E1F2E">
      <w:r>
        <w:rPr>
          <w:noProof/>
        </w:rPr>
        <w:lastRenderedPageBreak/>
        <w:drawing>
          <wp:inline distT="0" distB="0" distL="0" distR="0">
            <wp:extent cx="4709160" cy="3825240"/>
            <wp:effectExtent l="0" t="0" r="0" b="3810"/>
            <wp:docPr id="4" name="Picture 4" descr="C:\Users\hp\AppData\Local\Microsoft\Windows\INetCache\Content.MSO\33458F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MSO\33458FB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2E" w:rsidRPr="000E1F2E" w:rsidRDefault="000E1F2E" w:rsidP="000E1F2E"/>
    <w:p w:rsidR="000E1F2E" w:rsidRDefault="000E1F2E" w:rsidP="000E1F2E">
      <w:r w:rsidRPr="000E1F2E">
        <w:t xml:space="preserve">7. **Customer Acquisition </w:t>
      </w:r>
      <w:proofErr w:type="gramStart"/>
      <w:r w:rsidRPr="000E1F2E">
        <w:t>Trends:*</w:t>
      </w:r>
      <w:proofErr w:type="gramEnd"/>
      <w:r w:rsidRPr="000E1F2E">
        <w:t>* Examining the number of new customer sign-ups over time provides insights into the success of customer acquisition efforts and can reveal trends or seasonality in customer onboarding.</w:t>
      </w:r>
    </w:p>
    <w:p w:rsidR="00930FF9" w:rsidRPr="000E1F2E" w:rsidRDefault="00930FF9" w:rsidP="000E1F2E">
      <w:r>
        <w:rPr>
          <w:noProof/>
        </w:rPr>
        <w:lastRenderedPageBreak/>
        <w:drawing>
          <wp:inline distT="0" distB="0" distL="0" distR="0">
            <wp:extent cx="4968240" cy="4351020"/>
            <wp:effectExtent l="0" t="0" r="3810" b="0"/>
            <wp:docPr id="5" name="Picture 5" descr="C:\Users\hp\AppData\Local\Microsoft\Windows\INetCache\Content.MSO\D0EB66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MSO\D0EB668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2E" w:rsidRPr="000E1F2E" w:rsidRDefault="000E1F2E" w:rsidP="000E1F2E"/>
    <w:p w:rsidR="005D5A52" w:rsidRDefault="005D5A52"/>
    <w:sectPr w:rsidR="005D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41D5"/>
    <w:multiLevelType w:val="hybridMultilevel"/>
    <w:tmpl w:val="A3406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68D1"/>
    <w:multiLevelType w:val="hybridMultilevel"/>
    <w:tmpl w:val="87AA02F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2E"/>
    <w:rsid w:val="000E1F2E"/>
    <w:rsid w:val="005D5A52"/>
    <w:rsid w:val="0093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6F97"/>
  <w15:chartTrackingRefBased/>
  <w15:docId w15:val="{390D46AD-32EC-42D7-AABB-6F280F6A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2025-01-27T16:13:00Z</dcterms:created>
  <dcterms:modified xsi:type="dcterms:W3CDTF">2025-01-27T16:34:00Z</dcterms:modified>
</cp:coreProperties>
</file>