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Agreement</w:t>
      </w:r>
    </w:p>
    <w:p>
      <w:r>
        <w:t>This Service Agreement (the "Agreement") is entered into between Acme Corp ("Provider") and the Client. The parties agree to the following clauses.</w:t>
      </w:r>
    </w:p>
    <w:p>
      <w:pPr>
        <w:pStyle w:val="Heading2"/>
      </w:pPr>
      <w:r>
        <w:t>1. Term and Termination</w:t>
      </w:r>
    </w:p>
    <w:p>
      <w:r>
        <w:t>Either party may terminate this Agreement by providing thirty (30) days written notice. Provider may terminate immediately for material breach that remains uncured for fifteen (15) days after notice. Upon termination, Client shall pay all outstanding invoices within fourteen (14) days.</w:t>
      </w:r>
    </w:p>
    <w:p>
      <w:pPr>
        <w:pStyle w:val="Heading2"/>
      </w:pPr>
      <w:r>
        <w:t>2. Limitation of Liability</w:t>
      </w:r>
    </w:p>
    <w:p>
      <w:r>
        <w:t>Except for willful misconduct, Provider's aggregate liability under this Agreement shall not exceed the fees paid by Client in the twelve (12) months preceding the claim. Neither party shall be liable for indirect or consequential damages.</w:t>
      </w:r>
    </w:p>
    <w:p>
      <w:pPr>
        <w:pStyle w:val="Heading2"/>
      </w:pPr>
      <w:r>
        <w:t>3. Governing Law</w:t>
      </w:r>
    </w:p>
    <w:p>
      <w:r>
        <w:t>This Agreement shall be governed by the laws of the State of Delaware, without regard to conflict of law principles. Disputes shall be resolved in the courts located in Wilmington, Delaware.</w:t>
      </w:r>
    </w:p>
    <w:p>
      <w:pPr>
        <w:pStyle w:val="Heading2"/>
      </w:pPr>
      <w:r>
        <w:t>4. Indemnification</w:t>
      </w:r>
    </w:p>
    <w:p>
      <w:r>
        <w:t>Client shall indemnify and hold harmless Provider from claims arising out of Client's misuse of the services, except to the extent caused by Provider's negligence.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