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Global GDP Analysis: Executive Summary &amp; Conclusions</w:t>
      </w:r>
    </w:p>
    <w:p>
      <w:pPr>
        <w:jc w:val="center"/>
      </w:pPr>
      <w:r>
        <w:t>Prepared on August 26, 2025 | Data through 2016</w:t>
      </w:r>
    </w:p>
    <w:p/>
    <w:p>
      <w:pPr>
        <w:pStyle w:val="Heading1"/>
      </w:pPr>
      <w:r>
        <w:t>Executive Summary</w:t>
      </w:r>
    </w:p>
    <w:p>
      <w:pPr>
        <w:pStyle w:val="ListBullet"/>
      </w:pPr>
      <w:r>
        <w:t>The dataset contains 11,507 annual GDP records across countries and regions from 1960 to 2016.</w:t>
      </w:r>
    </w:p>
    <w:p>
      <w:pPr>
        <w:pStyle w:val="ListBullet"/>
      </w:pPr>
      <w:r>
        <w:t>Global GDP expanded strongly over the period, with structural breaks visible around the oil shocks of the 1970s and the 2008–09 financial crisis.</w:t>
      </w:r>
    </w:p>
    <w:p>
      <w:pPr>
        <w:pStyle w:val="ListBullet"/>
      </w:pPr>
      <w:r>
        <w:t>Advanced economies (United States, Japan, Germany) show steady, high-level GDPs; emerging economies (notably China and India) display rapid acceleration post-1990.</w:t>
      </w:r>
    </w:p>
    <w:p>
      <w:pPr>
        <w:pStyle w:val="ListBullet"/>
      </w:pPr>
      <w:r>
        <w:t>By the latest year, the GDP distribution remains highly skewed: a few large economies account for a substantial share of global output.</w:t>
      </w:r>
    </w:p>
    <w:p>
      <w:pPr>
        <w:pStyle w:val="Heading1"/>
      </w:pPr>
      <w:r>
        <w:t>Key Findings</w:t>
      </w:r>
    </w:p>
    <w:p>
      <w:r>
        <w:t>Global GDP has grown from low trillions in 1960 to several tens of trillions by the mid-2010s. The chart below shows the aggregate trajectory: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lobal_gdp_over_ti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sharpest year-on-year global contraction in this dataset occurred in 2015 at approximately -5.94% decline.</w:t>
      </w:r>
    </w:p>
    <w:p>
      <w:r>
        <w:t>Selected country trajectories highlight differences in absolute size and growth dynamics: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cus_countries_g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Compound annual growth rates (CAGR) between 1990 and 2016 for selected economies: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Country</w:t>
            </w:r>
          </w:p>
        </w:tc>
        <w:tc>
          <w:tcPr>
            <w:tcW w:type="dxa" w:w="4320"/>
          </w:tcPr>
          <w:p>
            <w:r>
              <w:t>CAGR 1990-2016 (%)</w:t>
            </w:r>
          </w:p>
        </w:tc>
      </w:tr>
      <w:tr>
        <w:tc>
          <w:tcPr>
            <w:tcW w:type="dxa" w:w="4320"/>
          </w:tcPr>
          <w:p>
            <w:r>
              <w:t>United States</w:t>
            </w:r>
          </w:p>
        </w:tc>
        <w:tc>
          <w:tcPr>
            <w:tcW w:type="dxa" w:w="4320"/>
          </w:tcPr>
          <w:p>
            <w:r>
              <w:t>4.47</w:t>
            </w:r>
          </w:p>
        </w:tc>
      </w:tr>
      <w:tr>
        <w:tc>
          <w:tcPr>
            <w:tcW w:type="dxa" w:w="4320"/>
          </w:tcPr>
          <w:p>
            <w:r>
              <w:t>China</w:t>
            </w:r>
          </w:p>
        </w:tc>
        <w:tc>
          <w:tcPr>
            <w:tcW w:type="dxa" w:w="4320"/>
          </w:tcPr>
          <w:p>
            <w:r>
              <w:t>14.12</w:t>
            </w:r>
          </w:p>
        </w:tc>
      </w:tr>
      <w:tr>
        <w:tc>
          <w:tcPr>
            <w:tcW w:type="dxa" w:w="4320"/>
          </w:tcPr>
          <w:p>
            <w:r>
              <w:t>India</w:t>
            </w:r>
          </w:p>
        </w:tc>
        <w:tc>
          <w:tcPr>
            <w:tcW w:type="dxa" w:w="4320"/>
          </w:tcPr>
          <w:p>
            <w:r>
              <w:t>7.86</w:t>
            </w:r>
          </w:p>
        </w:tc>
      </w:tr>
      <w:tr>
        <w:tc>
          <w:tcPr>
            <w:tcW w:type="dxa" w:w="4320"/>
          </w:tcPr>
          <w:p>
            <w:r>
              <w:t>Japan</w:t>
            </w:r>
          </w:p>
        </w:tc>
        <w:tc>
          <w:tcPr>
            <w:tcW w:type="dxa" w:w="4320"/>
          </w:tcPr>
          <w:p>
            <w:r>
              <w:t>1.76</w:t>
            </w:r>
          </w:p>
        </w:tc>
      </w:tr>
      <w:tr>
        <w:tc>
          <w:tcPr>
            <w:tcW w:type="dxa" w:w="4320"/>
          </w:tcPr>
          <w:p>
            <w:r>
              <w:t>Germany</w:t>
            </w:r>
          </w:p>
        </w:tc>
        <w:tc>
          <w:tcPr>
            <w:tcW w:type="dxa" w:w="4320"/>
          </w:tcPr>
          <w:p>
            <w:r>
              <w:t>2.64</w:t>
            </w:r>
          </w:p>
        </w:tc>
      </w:tr>
    </w:tbl>
    <w:p/>
    <w:p>
      <w:r>
        <w:t>Top 10 economies by GDP in 2016: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Country</w:t>
            </w:r>
          </w:p>
        </w:tc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GDP 2016 (USD Trillions)</w:t>
            </w:r>
          </w:p>
        </w:tc>
      </w:tr>
      <w:tr>
        <w:tc>
          <w:tcPr>
            <w:tcW w:type="dxa" w:w="2880"/>
          </w:tcPr>
          <w:p>
            <w:r>
              <w:t>North America</w:t>
            </w:r>
          </w:p>
        </w:tc>
        <w:tc>
          <w:tcPr>
            <w:tcW w:type="dxa" w:w="2880"/>
          </w:tcPr>
          <w:p>
            <w:r>
              <w:t>NAC</w:t>
            </w:r>
          </w:p>
        </w:tc>
        <w:tc>
          <w:tcPr>
            <w:tcW w:type="dxa" w:w="2880"/>
          </w:tcPr>
          <w:p>
            <w:r>
              <w:t>20.16</w:t>
            </w:r>
          </w:p>
        </w:tc>
      </w:tr>
      <w:tr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880"/>
          </w:tcPr>
          <w:p>
            <w:r>
              <w:t>USA</w:t>
            </w:r>
          </w:p>
        </w:tc>
        <w:tc>
          <w:tcPr>
            <w:tcW w:type="dxa" w:w="2880"/>
          </w:tcPr>
          <w:p>
            <w:r>
              <w:t>18.62</w:t>
            </w:r>
          </w:p>
        </w:tc>
      </w:tr>
      <w:tr>
        <w:tc>
          <w:tcPr>
            <w:tcW w:type="dxa" w:w="2880"/>
          </w:tcPr>
          <w:p>
            <w:r>
              <w:t>Late-demographic dividend</w:t>
            </w:r>
          </w:p>
        </w:tc>
        <w:tc>
          <w:tcPr>
            <w:tcW w:type="dxa" w:w="2880"/>
          </w:tcPr>
          <w:p>
            <w:r>
              <w:t>LTE</w:t>
            </w:r>
          </w:p>
        </w:tc>
        <w:tc>
          <w:tcPr>
            <w:tcW w:type="dxa" w:w="2880"/>
          </w:tcPr>
          <w:p>
            <w:r>
              <w:t>18.46</w:t>
            </w:r>
          </w:p>
        </w:tc>
      </w:tr>
      <w:tr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880"/>
          </w:tcPr>
          <w:p>
            <w:r>
              <w:t>CHN</w:t>
            </w:r>
          </w:p>
        </w:tc>
        <w:tc>
          <w:tcPr>
            <w:tcW w:type="dxa" w:w="2880"/>
          </w:tcPr>
          <w:p>
            <w:r>
              <w:t>11.20</w:t>
            </w:r>
          </w:p>
        </w:tc>
      </w:tr>
      <w:tr>
        <w:tc>
          <w:tcPr>
            <w:tcW w:type="dxa" w:w="2880"/>
          </w:tcPr>
          <w:p>
            <w:r>
              <w:t>Early-demographic dividend</w:t>
            </w:r>
          </w:p>
        </w:tc>
        <w:tc>
          <w:tcPr>
            <w:tcW w:type="dxa" w:w="2880"/>
          </w:tcPr>
          <w:p>
            <w:r>
              <w:t>EAR</w:t>
            </w:r>
          </w:p>
        </w:tc>
        <w:tc>
          <w:tcPr>
            <w:tcW w:type="dxa" w:w="2880"/>
          </w:tcPr>
          <w:p>
            <w:r>
              <w:t>10.40</w:t>
            </w:r>
          </w:p>
        </w:tc>
      </w:tr>
      <w:tr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880"/>
          </w:tcPr>
          <w:p>
            <w:r>
              <w:t>JPN</w:t>
            </w:r>
          </w:p>
        </w:tc>
        <w:tc>
          <w:tcPr>
            <w:tcW w:type="dxa" w:w="2880"/>
          </w:tcPr>
          <w:p>
            <w:r>
              <w:t>4.94</w:t>
            </w:r>
          </w:p>
        </w:tc>
      </w:tr>
      <w:tr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880"/>
          </w:tcPr>
          <w:p>
            <w:r>
              <w:t>DEU</w:t>
            </w:r>
          </w:p>
        </w:tc>
        <w:tc>
          <w:tcPr>
            <w:tcW w:type="dxa" w:w="2880"/>
          </w:tcPr>
          <w:p>
            <w:r>
              <w:t>3.48</w:t>
            </w:r>
          </w:p>
        </w:tc>
      </w:tr>
      <w:tr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880"/>
          </w:tcPr>
          <w:p>
            <w:r>
              <w:t>GBR</w:t>
            </w:r>
          </w:p>
        </w:tc>
        <w:tc>
          <w:tcPr>
            <w:tcW w:type="dxa" w:w="2880"/>
          </w:tcPr>
          <w:p>
            <w:r>
              <w:t>2.65</w:t>
            </w:r>
          </w:p>
        </w:tc>
      </w:tr>
      <w:tr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880"/>
          </w:tcPr>
          <w:p>
            <w:r>
              <w:t>FRA</w:t>
            </w:r>
          </w:p>
        </w:tc>
        <w:tc>
          <w:tcPr>
            <w:tcW w:type="dxa" w:w="2880"/>
          </w:tcPr>
          <w:p>
            <w:r>
              <w:t>2.47</w:t>
            </w:r>
          </w:p>
        </w:tc>
      </w:tr>
      <w:tr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880"/>
          </w:tcPr>
          <w:p>
            <w:r>
              <w:t>IND</w:t>
            </w:r>
          </w:p>
        </w:tc>
        <w:tc>
          <w:tcPr>
            <w:tcW w:type="dxa" w:w="2880"/>
          </w:tcPr>
          <w:p>
            <w:r>
              <w:t>2.26</w:t>
            </w:r>
          </w:p>
        </w:tc>
      </w:tr>
    </w:tbl>
    <w:p/>
    <w:p>
      <w:pPr>
        <w:pStyle w:val="Heading1"/>
      </w:pPr>
      <w:r>
        <w:t>Methodology (High-Level)</w:t>
      </w:r>
    </w:p>
    <w:p>
      <w:pPr>
        <w:pStyle w:val="ListBullet"/>
      </w:pPr>
      <w:r>
        <w:t>Data Source: Provided CSV with columns Country Name, Country Code, Year, Value (current US$).</w:t>
      </w:r>
    </w:p>
    <w:p>
      <w:pPr>
        <w:pStyle w:val="ListBullet"/>
      </w:pPr>
      <w:r>
        <w:t>Cleaning: Sorted by country and year; excluded broad regional aggregates for country-specific comparisons.</w:t>
      </w:r>
    </w:p>
    <w:p>
      <w:pPr>
        <w:pStyle w:val="ListBullet"/>
      </w:pPr>
      <w:r>
        <w:t>Aggregation: Summed GDP across all entities to estimate global totals per year; computed year-over-year growth.</w:t>
      </w:r>
    </w:p>
    <w:p>
      <w:pPr>
        <w:pStyle w:val="ListBullet"/>
      </w:pPr>
      <w:r>
        <w:t>Comparisons: Ranked countries by latest available GDP; computed CAGRs for selected countries from 1990 to latest year.</w:t>
      </w:r>
    </w:p>
    <w:p>
      <w:pPr>
        <w:pStyle w:val="ListBullet"/>
      </w:pPr>
      <w:r>
        <w:t>Visualization: Created line charts for global totals and selected countries using matplotlib.</w:t>
      </w:r>
    </w:p>
    <w:p>
      <w:pPr>
        <w:pStyle w:val="Heading1"/>
      </w:pPr>
      <w:r>
        <w:t>Limitations &amp; Notes</w:t>
      </w:r>
    </w:p>
    <w:p>
      <w:pPr>
        <w:pStyle w:val="ListBullet"/>
      </w:pPr>
      <w:r>
        <w:t>GDP is in current US dollars; results reflect both real growth and price/currency effects.</w:t>
      </w:r>
    </w:p>
    <w:p>
      <w:pPr>
        <w:pStyle w:val="ListBullet"/>
      </w:pPr>
      <w:r>
        <w:t>Regional aggregates were excluded from 'Top countries' solely via keyword heuristics; some edge cases may persist.</w:t>
      </w:r>
    </w:p>
    <w:p>
      <w:pPr>
        <w:pStyle w:val="ListBullet"/>
      </w:pPr>
      <w:r>
        <w:t>Latest year in the dataset is limited to data through 2016; developments after that are not captured.</w:t>
      </w:r>
    </w:p>
    <w:p>
      <w:pPr>
        <w:pStyle w:val="Heading1"/>
      </w:pPr>
      <w:r>
        <w:t>Conclusions</w:t>
      </w:r>
    </w:p>
    <w:p>
      <w:pPr>
        <w:pStyle w:val="ListBullet"/>
      </w:pPr>
      <w:r>
        <w:t>The period 1960–2016 demonstrates sustained global economic expansion, punctuated by identifiable downturns such as 2008–09.</w:t>
      </w:r>
    </w:p>
    <w:p>
      <w:pPr>
        <w:pStyle w:val="ListBullet"/>
      </w:pPr>
      <w:r>
        <w:t>Economic scale remains concentrated among a handful of large economies, but convergence is observable in fast-growing emerging markets, led by China and India since the 1990s.</w:t>
      </w:r>
    </w:p>
    <w:p>
      <w:pPr>
        <w:pStyle w:val="ListBullet"/>
      </w:pPr>
      <w:r>
        <w:t>Country-level growth paths differ markedly: mature economies grow steadily from a high base, while emerging economies can exhibit higher CAGRs with greater volatility.</w:t>
      </w:r>
    </w:p>
    <w:p>
      <w:pPr>
        <w:pStyle w:val="ListBullet"/>
      </w:pPr>
      <w:r>
        <w:t>For policy and business decisions, complementary indicators (GDP per capita, inflation-adjusted GDP, sectoral composition) should be analyzed alongside total GDP levels.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