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Calibri" w:hAnsi="Calibri"/>
          <w:b/>
          <w:color w:val="1F4E79"/>
          <w:sz w:val="48"/>
        </w:rPr>
        <w:t>AI-Driven Adaptive Consensus Mechanism for Energy-Efficient Blockchain IoT Networks</w:t>
      </w:r>
    </w:p>
    <w:p>
      <w:pPr>
        <w:spacing w:after="560"/>
        <w:jc w:val="center"/>
      </w:pPr>
      <w:r>
        <w:rPr>
          <w:rFonts w:ascii="Calibri" w:hAnsi="Calibri"/>
          <w:i/>
          <w:color w:val="2E75B6"/>
          <w:sz w:val="26"/>
        </w:rPr>
        <w:t>Comprehensive Technical Specification, Mid-Semester Review Report &amp; Presentation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Domain: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Blockchain, Internet of Things (IoT), Edge AI &amp; Multi-Agent Consensus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Milestone: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Mid-Semester Review Deliverable (Phase 1, Phase 2, &amp; Phase 3)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Target System: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Decoupled 3-Tier Architecture (EVM Settlement + Off-Chain AI Controller)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Date / Version: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September 2026 / Version 1.0 (Functional Prototype Verified)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1F4E79"/>
          <w:sz w:val="34"/>
        </w:rPr>
        <w:t>1. Executive Summary</w:t>
      </w:r>
    </w:p>
    <w:p>
      <w:pPr>
        <w:spacing w:after="120" w:line="276" w:lineRule="auto"/>
      </w:pPr>
      <w:r>
        <w:t>Integrating Internet of Things (IoT) devices with decentralized blockchain networks creates immutable auditability, tamper-proof compliance, and autonomous machine-to-machine (M2M) microeconomies. However, conventional blockchain consensus protocols are fundamentally incompatible with edge IoT devices due to acute battery depletion, radio-frequency packet storms, and static committee structures.</w:t>
      </w:r>
    </w:p>
    <w:p>
      <w:pPr>
        <w:spacing w:after="120" w:line="276" w:lineRule="auto"/>
      </w:pPr>
      <w:r>
        <w:t>This project introduces an intelligent, energy-aware adaptive consensus framework that dynamically scales and rotates consensus committees based on real-time device health metrics (battery percentage, link latency, and historical reputation). The architecture is decoupled into three tiers: a physics-based simulated IoT fleet, an off-chain edge AI controller, and a Solidity-based EVM settlement layer. For the mid-semester evaluation, Phase 1 (Problem Formulation), Phase 2 (Mathematical Modeling), and Phase 3 (Working Prototype &amp; Streamlit Dashboard) have been fully developed and mathematically validated.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4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[CORE RESEARCH RESULT] </w:t>
            </w:r>
            <w:r>
              <w:rPr>
                <w:i/>
              </w:rPr>
              <w:t>By dynamically rotating low-battery nodes into idle sleep states, individual resting devices experience a 98.3% reduction in per-round energy consumption while strictly preserving Byzantine Fault Tolerance safety invariants (K_t &gt;= 3f + 1).</w:t>
            </w:r>
          </w:p>
        </w:tc>
      </w:tr>
    </w:tbl>
    <w:p>
      <w:pPr>
        <w:spacing w:after="80"/>
      </w:pPr>
    </w:p>
    <w:p>
      <w:pPr>
        <w:spacing w:before="400" w:after="160"/>
      </w:pPr>
      <w:r>
        <w:rPr>
          <w:rFonts w:ascii="Calibri" w:hAnsi="Calibri"/>
          <w:b/>
          <w:color w:val="1F4E79"/>
          <w:sz w:val="34"/>
        </w:rPr>
        <w:t>2. Problem Definition &amp; Literature Review (Phase 1)</w:t>
      </w:r>
    </w:p>
    <w:p>
      <w:pPr>
        <w:spacing w:before="280" w:after="120"/>
      </w:pPr>
      <w:r>
        <w:rPr>
          <w:rFonts w:ascii="Calibri" w:hAnsi="Calibri"/>
          <w:b/>
          <w:color w:val="2E75B6"/>
          <w:sz w:val="26"/>
        </w:rPr>
        <w:t>2.1 IoT Hardware Constraints Profile</w:t>
      </w:r>
    </w:p>
    <w:p>
      <w:pPr>
        <w:spacing w:after="120" w:line="276" w:lineRule="auto"/>
      </w:pPr>
      <w:r>
        <w:t>Low-power microcontrollers (e.g. ESP32 Xtensa, STM32 ARM Cortex-M4, nRF52840) rely on finite battery reserves and operate over constrained wireless radio channels (LoRaWAN, Zigbee IEEE 802.15.4, BLE, NB-IoT). In these devices, radio transmission is the dominant power sink, dissipating orders of magnitude more energy than computational execution.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Device</w:t>
            </w:r>
          </w:p>
        </w:tc>
        <w:tc>
          <w:tcPr>
            <w:tcW w:type="dxa" w:w="1560"/>
            <w:shd w:fill="D9E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1560"/>
            <w:shd w:fill="D9E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Clock</w:t>
            </w:r>
          </w:p>
        </w:tc>
        <w:tc>
          <w:tcPr>
            <w:tcW w:type="dxa" w:w="1560"/>
            <w:shd w:fill="D9E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SRAM</w:t>
            </w:r>
          </w:p>
        </w:tc>
        <w:tc>
          <w:tcPr>
            <w:tcW w:type="dxa" w:w="1560"/>
            <w:shd w:fill="D9E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Active Current</w:t>
            </w:r>
          </w:p>
        </w:tc>
        <w:tc>
          <w:tcPr>
            <w:tcW w:type="dxa" w:w="1560"/>
            <w:shd w:fill="D9E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Deep Sleep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ESP32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Xtensa Dual-Core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240 MHz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520 KB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160 mA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15 uA</w:t>
            </w:r>
          </w:p>
        </w:tc>
      </w:tr>
      <w:tr>
        <w:tc>
          <w:tcPr>
            <w:tcW w:type="dxa" w:w="1560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STM32F4</w:t>
            </w:r>
          </w:p>
        </w:tc>
        <w:tc>
          <w:tcPr>
            <w:tcW w:type="dxa" w:w="1560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ARM Cortex-M4</w:t>
            </w:r>
          </w:p>
        </w:tc>
        <w:tc>
          <w:tcPr>
            <w:tcW w:type="dxa" w:w="1560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84 MHz</w:t>
            </w:r>
          </w:p>
        </w:tc>
        <w:tc>
          <w:tcPr>
            <w:tcW w:type="dxa" w:w="1560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96 KB</w:t>
            </w:r>
          </w:p>
        </w:tc>
        <w:tc>
          <w:tcPr>
            <w:tcW w:type="dxa" w:w="1560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25 mA</w:t>
            </w:r>
          </w:p>
        </w:tc>
        <w:tc>
          <w:tcPr>
            <w:tcW w:type="dxa" w:w="1560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uA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nRF52840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ARM Cortex-M4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64 MHz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256 KB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8 mA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1.5 uA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2E75B6"/>
          <w:sz w:val="26"/>
        </w:rPr>
        <w:t>2.2 Critique of Traditional Consensus Mechanisms in IoT</w:t>
      </w:r>
    </w:p>
    <w:p>
      <w:pPr>
        <w:spacing w:after="120" w:line="276" w:lineRule="auto"/>
      </w:pPr>
      <w:r>
        <w:rPr>
          <w:b/>
        </w:rPr>
        <w:t xml:space="preserve">• </w:t>
      </w:r>
      <w:r>
        <w:t xml:space="preserve">Proof of Work (PoW): </w:t>
      </w:r>
    </w:p>
    <w:p>
      <w:pPr>
        <w:spacing w:after="120" w:line="276" w:lineRule="auto"/>
      </w:pPr>
      <w:r>
        <w:t>Requires continuous hash calculations that deplete a standard 2500 mAh battery within 10.4 hours without transmitting meaningful sensor data.</w:t>
      </w:r>
    </w:p>
    <w:p>
      <w:pPr>
        <w:spacing w:after="120" w:line="276" w:lineRule="auto"/>
      </w:pPr>
      <w:r>
        <w:rPr>
          <w:b/>
        </w:rPr>
        <w:t xml:space="preserve">• </w:t>
      </w:r>
      <w:r>
        <w:t xml:space="preserve">Practical Byzantine Fault Tolerance (PBFT): </w:t>
      </w:r>
    </w:p>
    <w:p>
      <w:pPr>
        <w:spacing w:after="120" w:line="276" w:lineRule="auto"/>
      </w:pPr>
      <w:r>
        <w:t>Requires O(N^2) broadcast messages. In a 20-node IoT mesh, 400 broadcast messages per round trigger packet collisions, hidden terminal issues, and radio saturation.</w:t>
      </w:r>
    </w:p>
    <w:p>
      <w:pPr>
        <w:spacing w:after="120" w:line="276" w:lineRule="auto"/>
      </w:pPr>
      <w:r>
        <w:rPr>
          <w:b/>
        </w:rPr>
        <w:t xml:space="preserve">• </w:t>
      </w:r>
      <w:r>
        <w:t xml:space="preserve">Proof of Stake (PoS) / DPoS: </w:t>
      </w:r>
    </w:p>
    <w:p>
      <w:pPr>
        <w:spacing w:after="120" w:line="276" w:lineRule="auto"/>
      </w:pPr>
      <w:r>
        <w:t>Statically delegates consensus based on coin stake. PoS is energy-blind: it will force a node with 2% battery to validate until it dies, causing network fragmentation.</w:t>
      </w:r>
    </w:p>
    <w:p>
      <w:pPr>
        <w:spacing w:before="400" w:after="160"/>
      </w:pPr>
      <w:r>
        <w:rPr>
          <w:rFonts w:ascii="Calibri" w:hAnsi="Calibri"/>
          <w:b/>
          <w:color w:val="1F4E79"/>
          <w:sz w:val="34"/>
        </w:rPr>
        <w:t>3. Theoretical &amp; Mathematical Formulations (Phase 2)</w:t>
      </w:r>
    </w:p>
    <w:p>
      <w:pPr>
        <w:spacing w:before="280" w:after="120"/>
      </w:pPr>
      <w:r>
        <w:rPr>
          <w:rFonts w:ascii="Calibri" w:hAnsi="Calibri"/>
          <w:b/>
          <w:color w:val="2E75B6"/>
          <w:sz w:val="26"/>
        </w:rPr>
        <w:t>3.1 The Heinzelman First-Order Radio Model</w:t>
      </w:r>
    </w:p>
    <w:p>
      <w:pPr>
        <w:spacing w:after="120" w:line="276" w:lineRule="auto"/>
      </w:pPr>
      <w:r>
        <w:t>Consensus round dissipation comprises radio transmission (E_tx), reception (E_rx), and CPU cryptographic operations (E_cpu). Radio dissipation follows the Heinzelman model with crossover distance threshold d0:</w:t>
      </w:r>
    </w:p>
    <w:p>
      <w:pPr>
        <w:spacing w:after="120" w:line="276" w:lineRule="auto"/>
      </w:pPr>
      <w:r>
        <w:rPr>
          <w:b/>
        </w:rPr>
        <w:t xml:space="preserve">Crossover Distance: </w:t>
      </w:r>
      <w:r>
        <w:t>d0 = sqrt(eps_fs / eps_mp) = sqrt(10e-12 / 0.0013e-12) ≈ 87.71 meters</w:t>
      </w:r>
    </w:p>
    <w:p>
      <w:pPr>
        <w:spacing w:after="120" w:line="276" w:lineRule="auto"/>
      </w:pPr>
      <w:r>
        <w:t>• If distance d &lt; d0 (Free-Space): E_tx(l, d) = l * E_elec + l * eps_fs * d^2</w:t>
      </w:r>
    </w:p>
    <w:p>
      <w:pPr>
        <w:spacing w:after="120" w:line="276" w:lineRule="auto"/>
      </w:pPr>
      <w:r>
        <w:t>• If distance d &gt;= d0 (Multi-Path Fading): E_tx(l, d) = l * E_elec + l * eps_mp * d^4</w:t>
      </w:r>
    </w:p>
    <w:p>
      <w:pPr>
        <w:spacing w:after="120" w:line="276" w:lineRule="auto"/>
      </w:pPr>
      <w:r>
        <w:t>• Reception Energy: E_rx(l) = l * E_elec  (where E_elec = 50 nJ/bit)</w:t>
      </w:r>
    </w:p>
    <w:p>
      <w:pPr>
        <w:spacing w:after="120" w:line="276" w:lineRule="auto"/>
      </w:pPr>
      <w:r>
        <w:t>• Cryptographic CPU Energy: E_cpu = V_dd * I_active * T_crypto  (4.2 ms for secp256k1 sign)</w:t>
      </w:r>
    </w:p>
    <w:p>
      <w:pPr>
        <w:spacing w:before="280" w:after="120"/>
      </w:pPr>
      <w:r>
        <w:rPr>
          <w:rFonts w:ascii="Calibri" w:hAnsi="Calibri"/>
          <w:b/>
          <w:color w:val="2E75B6"/>
          <w:sz w:val="26"/>
        </w:rPr>
        <w:t>3.2 Byzantine Fault Tolerance Safety Invariant</w:t>
      </w:r>
    </w:p>
    <w:p>
      <w:pPr>
        <w:spacing w:after="120" w:line="276" w:lineRule="auto"/>
      </w:pPr>
      <w:r>
        <w:t>To guarantee safety (no two conflicting blocks can be finalized) and liveness (the network can continuously commit blocks) under dynamic committee scaling, the committee size K_t must strictly satisfy:</w:t>
      </w:r>
    </w:p>
    <w:p>
      <w:pPr>
        <w:spacing w:after="120" w:line="276" w:lineRule="auto"/>
      </w:pPr>
      <w:r>
        <w:rPr>
          <w:b/>
        </w:rPr>
        <w:t xml:space="preserve">Safety Bound: </w:t>
      </w:r>
      <w:r>
        <w:t>K_t &gt;= 3f + 1  (For f=1 tolerated Byzantine node, K_t &gt;= 4)</w:t>
      </w:r>
    </w:p>
    <w:p>
      <w:pPr>
        <w:spacing w:after="120" w:line="276" w:lineRule="auto"/>
      </w:pPr>
      <w:r>
        <w:rPr>
          <w:b/>
        </w:rPr>
        <w:t xml:space="preserve">Quorum Rule: </w:t>
      </w:r>
      <w:r>
        <w:t>Quorum Threshold Q_t = floor(2/3 * K_t) + 1  (e.g., 4 signatures required for K=5)</w:t>
      </w:r>
    </w:p>
    <w:p>
      <w:pPr>
        <w:spacing w:before="280" w:after="120"/>
      </w:pPr>
      <w:r>
        <w:rPr>
          <w:rFonts w:ascii="Calibri" w:hAnsi="Calibri"/>
          <w:b/>
          <w:color w:val="2E75B6"/>
          <w:sz w:val="26"/>
        </w:rPr>
        <w:t>3.3 Multi-Objective Global Utility Optimization</w:t>
      </w:r>
    </w:p>
    <w:p>
      <w:pPr>
        <w:spacing w:after="120" w:line="276" w:lineRule="auto"/>
      </w:pPr>
      <w:r>
        <w:t>The edge AI controller optimizes committee composition C_t by maximizing global utility U_t:</w:t>
      </w:r>
    </w:p>
    <w:p>
      <w:pPr>
        <w:spacing w:after="120" w:line="276" w:lineRule="auto"/>
      </w:pPr>
      <w:r>
        <w:rPr>
          <w:b/>
        </w:rPr>
        <w:t xml:space="preserve">Objective Function: </w:t>
      </w:r>
      <w:r>
        <w:t>max U_t = w1 * S(C_t) + w2 * E_rem(C_t) - w3 * L(C_t)</w:t>
      </w:r>
    </w:p>
    <w:p>
      <w:pPr>
        <w:spacing w:after="120" w:line="276" w:lineRule="auto"/>
      </w:pPr>
      <w:r>
        <w:t>Subject to: w1 + w2 + w3 = 1.0 (w1=0.35 Security, w2=0.45 Battery, w3=0.20 Latency), Battery &gt; 15%, Trust &gt;= 0.60.</w:t>
      </w:r>
    </w:p>
    <w:p>
      <w:pPr>
        <w:spacing w:before="400" w:after="160"/>
      </w:pPr>
      <w:r>
        <w:rPr>
          <w:rFonts w:ascii="Calibri" w:hAnsi="Calibri"/>
          <w:b/>
          <w:color w:val="1F4E79"/>
          <w:sz w:val="34"/>
        </w:rPr>
        <w:t>4. Decoupled 3-Tier System Architecture</w:t>
      </w:r>
    </w:p>
    <w:p>
      <w:pPr>
        <w:spacing w:after="120" w:line="276" w:lineRule="auto"/>
      </w:pPr>
      <w:r>
        <w:t>The system decouples high-overhead continuous intelligence from immutable blockchain execution across three distinct tiers:</w:t>
      </w:r>
    </w:p>
    <w:p>
      <w:pPr>
        <w:spacing w:after="120" w:line="276" w:lineRule="auto"/>
      </w:pPr>
      <w:r>
        <w:rPr>
          <w:b/>
        </w:rPr>
        <w:t xml:space="preserve">1. </w:t>
      </w:r>
      <w:r>
        <w:t xml:space="preserve">Tier 1: Physical / Simulated IoT Network (Python): </w:t>
      </w:r>
    </w:p>
    <w:p>
      <w:pPr>
        <w:spacing w:after="120" w:line="276" w:lineRule="auto"/>
      </w:pPr>
      <w:r>
        <w:t>Virtual nodes holding secp256k1 private keys, generating sensor telemetry, signing block proposals, and discharging battery according to radio physics.</w:t>
      </w:r>
    </w:p>
    <w:p>
      <w:pPr>
        <w:spacing w:after="120" w:line="276" w:lineRule="auto"/>
      </w:pPr>
      <w:r>
        <w:rPr>
          <w:b/>
        </w:rPr>
        <w:t xml:space="preserve">2. </w:t>
      </w:r>
      <w:r>
        <w:t xml:space="preserve">Tier 2: Edge AI Controller &amp; Oracle (Python): </w:t>
      </w:r>
    </w:p>
    <w:p>
      <w:pPr>
        <w:spacing w:after="120" w:line="276" w:lineRule="auto"/>
      </w:pPr>
      <w:r>
        <w:t>Evaluates incoming telemetry, applies feasibility filtering, ranks nodes using MCDM, implements leadership fatigue penalties, and submits epoch directives to the EVM.</w:t>
      </w:r>
    </w:p>
    <w:p>
      <w:pPr>
        <w:spacing w:after="120" w:line="276" w:lineRule="auto"/>
      </w:pPr>
      <w:r>
        <w:rPr>
          <w:b/>
        </w:rPr>
        <w:t xml:space="preserve">3. </w:t>
      </w:r>
      <w:r>
        <w:t xml:space="preserve">Tier 3: Blockchain Settlement Layer (Solidity / Local Hardhat EVM): </w:t>
      </w:r>
    </w:p>
    <w:p>
      <w:pPr>
        <w:spacing w:after="120" w:line="276" w:lineRule="auto"/>
      </w:pPr>
      <w:r>
        <w:t>NodeRegistry.sol tracks identities, stake, and slashing status. AdaptiveConsensus.sol enforces threshold signature verification (&gt;= 2/3*K+1) and commits immutable block records.</w:t>
      </w:r>
    </w:p>
    <w:p>
      <w:pPr>
        <w:spacing w:before="400" w:after="160"/>
      </w:pPr>
      <w:r>
        <w:rPr>
          <w:rFonts w:ascii="Calibri" w:hAnsi="Calibri"/>
          <w:b/>
          <w:color w:val="1F4E79"/>
          <w:sz w:val="34"/>
        </w:rPr>
        <w:t>5. Mid-Semester Prototype Implementation &amp; Experimental Results (Phase 3)</w:t>
      </w:r>
    </w:p>
    <w:p>
      <w:pPr>
        <w:spacing w:before="280" w:after="120"/>
      </w:pPr>
      <w:r>
        <w:rPr>
          <w:rFonts w:ascii="Calibri" w:hAnsi="Calibri"/>
          <w:b/>
          <w:color w:val="2E75B6"/>
          <w:sz w:val="26"/>
        </w:rPr>
        <w:t>5.1 Smart Contract Implementation &amp; Verification</w:t>
      </w:r>
    </w:p>
    <w:p>
      <w:pPr>
        <w:spacing w:after="120" w:line="276" w:lineRule="auto"/>
      </w:pPr>
      <w:r>
        <w:t>The smart contracts were compiled with Solidity 0.8.24 targeting the Cancun EVM. Five automated test suites in Hardhat verified registration, eligibility checks, BFT violation rejection (rejecting committees with size &lt; 4), quorum verification, and signature tampering rejection.</w:t>
      </w:r>
    </w:p>
    <w:p>
      <w:pPr>
        <w:spacing w:after="120" w:line="276" w:lineRule="auto"/>
      </w:pPr>
      <w:r>
        <w:rPr>
          <w:b/>
        </w:rPr>
        <w:t xml:space="preserve">Hardhat Test Output: </w:t>
      </w:r>
      <w:r>
        <w:t>Result: 5/5 Hardhat tests passing (100% compliance with EVM settlement specifications).</w:t>
      </w:r>
    </w:p>
    <w:p>
      <w:pPr>
        <w:spacing w:before="280" w:after="120"/>
      </w:pPr>
      <w:r>
        <w:rPr>
          <w:rFonts w:ascii="Calibri" w:hAnsi="Calibri"/>
          <w:b/>
          <w:color w:val="2E75B6"/>
          <w:sz w:val="26"/>
        </w:rPr>
        <w:t>5.2 Empirical Energy Dissipation Disparity</w:t>
      </w:r>
    </w:p>
    <w:p>
      <w:pPr>
        <w:spacing w:after="120" w:line="276" w:lineRule="auto"/>
      </w:pPr>
      <w:r>
        <w:t>Radio physics profiling revealed significant energy savings between active validators and resting idle nodes: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Role in Consensus</w:t>
            </w:r>
          </w:p>
        </w:tc>
        <w:tc>
          <w:tcPr>
            <w:tcW w:type="dxa" w:w="2340"/>
            <w:shd w:fill="D9E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Per-Round Dissipation</w:t>
            </w:r>
          </w:p>
        </w:tc>
        <w:tc>
          <w:tcPr>
            <w:tcW w:type="dxa" w:w="2340"/>
            <w:shd w:fill="D9E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Relative Percentage</w:t>
            </w:r>
          </w:p>
        </w:tc>
        <w:tc>
          <w:tcPr>
            <w:tcW w:type="dxa" w:w="2340"/>
            <w:shd w:fill="D9E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Operational Mode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Committee Leader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27.330 mJ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100.0%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Transmits proposal + verifies K-1 votes</w:t>
            </w:r>
          </w:p>
        </w:tc>
      </w:tr>
      <w:tr>
        <w:tc>
          <w:tcPr>
            <w:tcW w:type="dxa" w:w="2340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Active Validator</w:t>
            </w:r>
          </w:p>
        </w:tc>
        <w:tc>
          <w:tcPr>
            <w:tcW w:type="dxa" w:w="2340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7.201 mJ</w:t>
            </w:r>
          </w:p>
        </w:tc>
        <w:tc>
          <w:tcPr>
            <w:tcW w:type="dxa" w:w="2340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26.3%</w:t>
            </w:r>
          </w:p>
        </w:tc>
        <w:tc>
          <w:tcPr>
            <w:tcW w:type="dxa" w:w="2340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Receives proposal + signs &amp; transmits vote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Idle Sleep Node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0.125 mJ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0.5%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Listens to 512-bit header + 15 uA deep sleep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4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[EMPIRICAL VALIDATION] </w:t>
            </w:r>
            <w:r>
              <w:rPr>
                <w:i/>
              </w:rPr>
              <w:t>An idle resting node dissipates only 0.125 mJ per round compared to 7.201 mJ for an active validator, yielding a 98.3% energy reduction. Rotating low-battery nodes into idle states multiplies the total operational lifespan of the IoT fleet.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2E75B6"/>
          <w:sz w:val="26"/>
        </w:rPr>
        <w:t>5.3 Dynamic Leader Fatigue &amp; Load Balancing</w:t>
      </w:r>
    </w:p>
    <w:p>
      <w:pPr>
        <w:spacing w:after="120" w:line="276" w:lineRule="auto"/>
      </w:pPr>
      <w:r>
        <w:t>To prevent a single high-battery device (e.g. Node 11) from being greedily selected as leader repeatedly, a consecutive-term fatigue penalty was incorporated into the scoring algorithm. The test pipeline confirmed active round-robin leadership: Node 11 (Epoch 1) -&gt; Node 06 (Epoch 2) -&gt; Node 02 (Epoch 3) -&gt; Node 11 (Epoch 4). In Epoch 6, when Node 06 was force-drained to 10%, the AI immediately quarantined it to deep sleep, promoting Node 02 as the new leader without interrupting block finalization.</w:t>
      </w:r>
    </w:p>
    <w:p>
      <w:pPr>
        <w:spacing w:before="400" w:after="160"/>
      </w:pPr>
      <w:r>
        <w:rPr>
          <w:rFonts w:ascii="Calibri" w:hAnsi="Calibri"/>
          <w:b/>
          <w:color w:val="1F4E79"/>
          <w:sz w:val="34"/>
        </w:rPr>
        <w:t>6. Post Mid-Term Roadmap &amp; Complete Project Vision</w:t>
      </w:r>
    </w:p>
    <w:p>
      <w:pPr>
        <w:spacing w:before="280" w:after="120"/>
      </w:pPr>
      <w:r>
        <w:rPr>
          <w:rFonts w:ascii="Calibri" w:hAnsi="Calibri"/>
          <w:b/>
          <w:color w:val="2E75B6"/>
          <w:sz w:val="26"/>
        </w:rPr>
        <w:t>6.1 Phase 4: Advancing to Deep Reinforcement Learning (DQN / PPO)</w:t>
      </w:r>
    </w:p>
    <w:p>
      <w:pPr>
        <w:spacing w:after="120" w:line="276" w:lineRule="auto"/>
      </w:pPr>
      <w:r>
        <w:t>In Phase 4, the static Multi-Criteria Decision Making (MCDM) heuristic will be replaced with a Deep Reinforcement Learning agent. The state space (S_t) comprises residual battery vectors, channel latency, packet drop rates, and block finality intervals. The action space (A_t) determines the dynamic committee size K_t and the node selection mask. The agent learns non-linear policies that anticipate depletion cascades before they occur.</w:t>
      </w:r>
    </w:p>
    <w:p>
      <w:pPr>
        <w:spacing w:before="280" w:after="120"/>
      </w:pPr>
      <w:r>
        <w:rPr>
          <w:rFonts w:ascii="Calibri" w:hAnsi="Calibri"/>
          <w:b/>
          <w:color w:val="2E75B6"/>
          <w:sz w:val="26"/>
        </w:rPr>
        <w:t>6.2 Phase 5: Adversarial Stress Testing &amp; Byzantine Defense</w:t>
      </w:r>
    </w:p>
    <w:p>
      <w:pPr>
        <w:spacing w:after="120" w:line="276" w:lineRule="auto"/>
      </w:pPr>
      <w:r>
        <w:t>Phase 5 introduces explicit adversarial injection: (1) Telemetry Spoofing (dishonest nodes reporting false battery levels to avoid work or hijack leadership), mitigated via Kalman filtering and physics cross-validation; (2) Byzantine Double-Signing, mitigated via on-chain cryptographic slashing in NodeRegistry.sol that zeroes reputation and permanently revokes validator status.</w:t>
      </w:r>
    </w:p>
    <w:p>
      <w:pPr>
        <w:spacing w:before="280" w:after="120"/>
      </w:pPr>
      <w:r>
        <w:rPr>
          <w:rFonts w:ascii="Calibri" w:hAnsi="Calibri"/>
          <w:b/>
          <w:color w:val="2E75B6"/>
          <w:sz w:val="26"/>
        </w:rPr>
        <w:t>6.3 Phase 6: Empirical Benchmarking &amp; Final Thesis Defense</w:t>
      </w:r>
    </w:p>
    <w:p>
      <w:pPr>
        <w:spacing w:after="120" w:line="276" w:lineRule="auto"/>
      </w:pPr>
      <w:r>
        <w:t>Phase 6 provides academic evaluation against two industry baselines: Classical Static PBFT and Standard Stake-based PoS. Evaluated metrics include First Node Dead (FND, target 2.5x to 4x extension), Network Half-Life, Transaction Throughput (TPS), and EVM execution gas costs optimized using bitmap storage.</w:t>
      </w:r>
    </w:p>
    <w:p>
      <w:pPr>
        <w:spacing w:before="400" w:after="160"/>
      </w:pPr>
      <w:r>
        <w:rPr>
          <w:rFonts w:ascii="Calibri" w:hAnsi="Calibri"/>
          <w:b/>
          <w:color w:val="1F4E79"/>
          <w:sz w:val="34"/>
        </w:rPr>
        <w:t>7. Complete 10-Slide Mid-Semester Presentation Script</w:t>
      </w:r>
    </w:p>
    <w:p>
      <w:pPr>
        <w:spacing w:after="120" w:line="276" w:lineRule="auto"/>
      </w:pPr>
      <w:r>
        <w:rPr>
          <w:b/>
        </w:rPr>
        <w:t xml:space="preserve">Slide 1: Title &amp; Overview: </w:t>
      </w:r>
      <w:r>
        <w:t>AI-Driven Adaptive Consensus Mechanism for Energy-Efficient Blockchain IoT Networks. Introduces the decoupled 3-tier model balancing decentralized security with device battery preservation.</w:t>
      </w:r>
    </w:p>
    <w:p>
      <w:pPr>
        <w:spacing w:after="120" w:line="276" w:lineRule="auto"/>
      </w:pPr>
      <w:r>
        <w:rPr>
          <w:b/>
        </w:rPr>
        <w:t xml:space="preserve">Slide 2: The Core Problem: </w:t>
      </w:r>
      <w:r>
        <w:t>Details why traditional blockchains fail on IoT hardware: PoW exhausts battery in hours, PBFT causes O(N^2) broadcast packet storms, and PoS is energy-blind, killing peripheral sensors.</w:t>
      </w:r>
    </w:p>
    <w:p>
      <w:pPr>
        <w:spacing w:after="120" w:line="276" w:lineRule="auto"/>
      </w:pPr>
      <w:r>
        <w:rPr>
          <w:b/>
        </w:rPr>
        <w:t xml:space="preserve">Slide 3: Proposed Architecture: </w:t>
      </w:r>
      <w:r>
        <w:t>Explains the 3-tier boundary: Tier 1 Simulated IoT Devices -&gt; Tier 2 Edge AI Controller -&gt; Tier 3 Solidity Smart Contracts on the EVM.</w:t>
      </w:r>
    </w:p>
    <w:p>
      <w:pPr>
        <w:spacing w:after="120" w:line="276" w:lineRule="auto"/>
      </w:pPr>
      <w:r>
        <w:rPr>
          <w:b/>
        </w:rPr>
        <w:t xml:space="preserve">Slide 4: Mathematical Formulations: </w:t>
      </w:r>
      <w:r>
        <w:t>Presents the Heinzelman first-order radio model, the BFT safety bound (K_t &gt;= 3f + 1), and the multi-objective global utility function (U_t = w1*S + w2*E - w3*L).</w:t>
      </w:r>
    </w:p>
    <w:p>
      <w:pPr>
        <w:spacing w:after="120" w:line="276" w:lineRule="auto"/>
      </w:pPr>
      <w:r>
        <w:rPr>
          <w:b/>
        </w:rPr>
        <w:t xml:space="preserve">Slide 5: Prototype Implementation: </w:t>
      </w:r>
      <w:r>
        <w:t>Details the implementation: NodeRegistry.sol and AdaptiveConsensus.sol tested in Hardhat, virtual ESP32 nodes with ECDSA secp256k1 signing, and Web3.py integration.</w:t>
      </w:r>
    </w:p>
    <w:p>
      <w:pPr>
        <w:spacing w:after="120" w:line="276" w:lineRule="auto"/>
      </w:pPr>
      <w:r>
        <w:rPr>
          <w:b/>
        </w:rPr>
        <w:t xml:space="preserve">Slide 6: Demonstration &amp; Results: </w:t>
      </w:r>
      <w:r>
        <w:t>Highlights prototype results: 98.3% energy reduction for idle nodes, automated leader fatigue rotation, dynamic 10% battery quarantine stress test, and the interactive Streamlit dashboard.</w:t>
      </w:r>
    </w:p>
    <w:p>
      <w:pPr>
        <w:spacing w:after="120" w:line="276" w:lineRule="auto"/>
      </w:pPr>
      <w:r>
        <w:rPr>
          <w:b/>
        </w:rPr>
        <w:t xml:space="preserve">Slide 7: Roadmap Phase 4 (Deep RL): </w:t>
      </w:r>
      <w:r>
        <w:t>Details replacing static heuristics with a Deep Reinforcement Learning (PPO/DQN) agent to learn non-linear policies under changing IoT network traffic.</w:t>
      </w:r>
    </w:p>
    <w:p>
      <w:pPr>
        <w:spacing w:after="120" w:line="276" w:lineRule="auto"/>
      </w:pPr>
      <w:r>
        <w:rPr>
          <w:b/>
        </w:rPr>
        <w:t xml:space="preserve">Slide 8: Roadmap Phase 5 (Byzantine Attacks): </w:t>
      </w:r>
      <w:r>
        <w:t>Details threat mitigation: Kalman filter anomaly detection against telemetry battery spoofing, and on-chain cryptographic slashing for double-signing.</w:t>
      </w:r>
    </w:p>
    <w:p>
      <w:pPr>
        <w:spacing w:after="120" w:line="276" w:lineRule="auto"/>
      </w:pPr>
      <w:r>
        <w:rPr>
          <w:b/>
        </w:rPr>
        <w:t xml:space="preserve">Slide 9: Roadmap Phase 6 (Benchmarking): </w:t>
      </w:r>
      <w:r>
        <w:t>Outlines benchmarking against Classical PBFT and PoS on First Node Dead (FND), network half-life, message complexity, and EVM gas profiling.</w:t>
      </w:r>
    </w:p>
    <w:p>
      <w:pPr>
        <w:spacing w:after="120" w:line="276" w:lineRule="auto"/>
      </w:pPr>
      <w:r>
        <w:rPr>
          <w:b/>
        </w:rPr>
        <w:t xml:space="preserve">Slide 10: Conclusion &amp; Deliverables: </w:t>
      </w:r>
      <w:r>
        <w:t>Summarizes the mid-semester deliverables, project timeline leading to the final semester defense, and the research contribution of an energy-aware IoT blockchain.</w:t>
      </w:r>
    </w:p>
    <w:p>
      <w:pPr>
        <w:spacing w:before="400" w:after="160"/>
      </w:pPr>
      <w:r>
        <w:rPr>
          <w:rFonts w:ascii="Calibri" w:hAnsi="Calibri"/>
          <w:b/>
          <w:color w:val="1F4E79"/>
          <w:sz w:val="34"/>
        </w:rPr>
        <w:t>8. Review Panel Defense &amp; Viva Q&amp;A Guide</w:t>
      </w:r>
    </w:p>
    <w:p>
      <w:pPr>
        <w:spacing w:before="160" w:after="80"/>
      </w:pPr>
      <w:r>
        <w:rPr>
          <w:b/>
        </w:rPr>
        <w:t>Q: Why is Solidity necessary if the AI runs off-chain?</w:t>
      </w:r>
    </w:p>
    <w:p>
      <w:pPr>
        <w:spacing w:after="120" w:line="276" w:lineRule="auto"/>
      </w:pPr>
      <w:r>
        <w:t>Defense: Smart contracts cannot perform floating-point math or neural network inferences within block gas limits. However, IoT networks still require a trustless, decentralized ledger for identity registry, slashing, and quorum verification. Solidity acts as the immutable settlement layer, while Python acts as the intelligent off-chain compute engine.</w:t>
      </w:r>
    </w:p>
    <w:p>
      <w:pPr>
        <w:spacing w:before="160" w:after="80"/>
      </w:pPr>
      <w:r>
        <w:rPr>
          <w:b/>
        </w:rPr>
        <w:t>Q: Why not scale the committee down to 2 nodes to save even more power?</w:t>
      </w:r>
    </w:p>
    <w:p>
      <w:pPr>
        <w:spacing w:after="120" w:line="276" w:lineRule="auto"/>
      </w:pPr>
      <w:r>
        <w:t>Defense: Byzantine Fault Tolerance mathematically requires K &gt;= 3f + 1 to prevent double-spending and network forks. For f = 1 malicious or offline node, the committee must have at least 4 nodes. Our AI algorithm enforces this invariant as a hard constraint.</w:t>
      </w:r>
    </w:p>
    <w:p>
      <w:pPr>
        <w:spacing w:before="160" w:after="80"/>
      </w:pPr>
      <w:r>
        <w:rPr>
          <w:b/>
        </w:rPr>
        <w:t>Q: How does rotating nodes conserve device battery?</w:t>
      </w:r>
    </w:p>
    <w:p>
      <w:pPr>
        <w:spacing w:after="120" w:line="276" w:lineRule="auto"/>
      </w:pPr>
      <w:r>
        <w:t>Defense: In wireless IoT devices, radio transmission is the dominant source of power loss. In standard PBFT, all N nodes participate in every round (O(N^2) complexity). By dynamically selecting a smaller committee (K &lt;&lt; N) and rotating low-battery devices into low-power idle sleep (15 uA), resting devices consume 98.3% less energy per round, significantly extending fleet survival.</w:t>
      </w:r>
    </w:p>
    <w:p>
      <w:pPr>
        <w:spacing w:before="160" w:after="80"/>
      </w:pPr>
      <w:r>
        <w:rPr>
          <w:b/>
        </w:rPr>
        <w:t>Q: How do you prevent a node from lying about having 5% battery to avoid work?</w:t>
      </w:r>
    </w:p>
    <w:p>
      <w:pPr>
        <w:spacing w:after="120" w:line="276" w:lineRule="auto"/>
      </w:pPr>
      <w:r>
        <w:t>Defense: In Phase 5, we introduce an anomaly detection filter. The controller maintains a historical model of expected energy drain based on past validation duties. If a node reports 5% battery despite being idle, or claims 99% after signing 100 blocks, it is flagged, disqualified, and penalized on-chain.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