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Descriptive Statistics and Sample Construction</w:t>
      </w:r>
    </w:p>
    <w:p>
      <w:pPr>
        <w:spacing w:after="120" w:line="288"/>
        <w:jc w:val="both"/>
      </w:pPr>
      <w:r>
        <w:rPr>
          <w:rFonts w:ascii="Times New Roman" w:cs="Times New Roman" w:eastAsia="Times New Roman" w:hAnsi="Times New Roman"/>
          <w:i/>
          <w:iCs/>
        </w:rPr>
        <w:t xml:space="preserve">Generated from the PLFS microdata by `scripts/sample_flow.py` and `paper/sample_doc.py`; all counts are unweighted person records, all means are weighted with the PLFS annual weights.</w:t>
      </w:r>
    </w:p>
    <w:p>
      <w:pPr>
        <w:pStyle w:val="Heading1"/>
        <w:spacing w:after="120" w:before="280"/>
      </w:pPr>
      <w:r>
        <w:rPr>
          <w:rFonts w:ascii="Times New Roman" w:cs="Times New Roman" w:eastAsia="Times New Roman" w:hAnsi="Times New Roman"/>
        </w:rPr>
        <w:t xml:space="preserve">Sample construction</w:t>
      </w:r>
    </w:p>
    <w:p>
      <w:pPr>
        <w:spacing w:after="120" w:line="288"/>
        <w:jc w:val="both"/>
      </w:pPr>
      <w:r>
        <w:rPr>
          <w:rFonts w:ascii="Times New Roman" w:cs="Times New Roman" w:eastAsia="Times New Roman" w:hAnsi="Times New Roman"/>
        </w:rPr>
        <w:t xml:space="preserve">The analysis uses the first-visit person files of the seven annual PLFS rounds from July 2017–June 2018 to July 2023–June 2024 (2,951,994 person records), merged with the first-visit household files. Table S1 reports the number of observations retained after each filtering step. Temporary visitors (person serial number 81 or higher, recorded from 2020-21) are dropped. Restricting to the working-age population aged 15–64 keeps 70% of records; of these, 49% are employed in the current weekly status (CWS). The wage analysis is limited to wage employees — regular salaried workers and casual labourers — because the self-employed report earnings that include returns to capital; they are analysed separately as a robustness check. Wage employees with zero or missing earnings or hours are dropped, and hourly wages are trimmed at the 0.5th and 99.5th percentiles within each round. Workers whose three-digit occupation code cannot be matched to a DTI score (mainly the armed forces and a few occupation groups without NCO descriptions) are excluded, as are 32 observations with missing covariates in the preferred specification. The final analytical sample comprises </w:t>
      </w:r>
      <w:r>
        <w:rPr>
          <w:rFonts w:ascii="Times New Roman" w:cs="Times New Roman" w:eastAsia="Times New Roman" w:hAnsi="Times New Roman"/>
          <w:b/>
          <w:bCs/>
        </w:rPr>
        <w:t xml:space="preserve">466,095 wage employees</w:t>
      </w:r>
      <w:r>
        <w:rPr>
          <w:rFonts w:ascii="Times New Roman" w:cs="Times New Roman" w:eastAsia="Times New Roman" w:hAnsi="Times New Roman"/>
        </w:rPr>
        <w:t xml:space="preserve"> in 233 occupation groups (111 NCO-2004 groups in 2017-18 to 2020-21 and 122 NCO-2015 groups in 2021-22 to 2023-24), representing 160–196 million workers per year.</w:t>
      </w:r>
    </w:p>
    <w:p>
      <w:pPr>
        <w:pStyle w:val="Heading1"/>
        <w:spacing w:after="120" w:before="280"/>
      </w:pPr>
      <w:r>
        <w:rPr>
          <w:rFonts w:ascii="Times New Roman" w:cs="Times New Roman" w:eastAsia="Times New Roman" w:hAnsi="Times New Roman"/>
        </w:rPr>
        <w:t xml:space="preserve">Table S1. Sample construction: observations retained after each filter</w:t>
      </w:r>
    </w:p>
    <w:p>
      <w:pPr>
        <w:spacing w:after="120" w:line="288"/>
        <w:jc w:val="both"/>
      </w:pPr>
      <w:r>
        <w:rPr>
          <w:rFonts w:ascii="Times New Roman" w:cs="Times New Roman" w:eastAsia="Times New Roman" w:hAnsi="Times New Roman"/>
        </w:rPr>
        <w:t xml:space="preserve">Panel A. All rounds pooled</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94"/>
        <w:gridCol w:w="1163"/>
        <w:gridCol w:w="1163"/>
        <w:gridCol w:w="1292"/>
        <w:gridCol w:w="1294"/>
      </w:tblGrid>
      <w:tr>
        <w:trPr>
          <w:tblHeader/>
        </w:trPr>
        <w:tc>
          <w:tcPr>
            <w:tcW w:type="dxa" w:w="4394"/>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Filter</w:t>
            </w:r>
          </w:p>
        </w:tc>
        <w:tc>
          <w:tcPr>
            <w:tcW w:type="dxa" w:w="1163"/>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Observations kept</w:t>
            </w:r>
          </w:p>
        </w:tc>
        <w:tc>
          <w:tcPr>
            <w:tcW w:type="dxa" w:w="1163"/>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Dropped at this step</w:t>
            </w:r>
          </w:p>
        </w:tc>
        <w:tc>
          <w:tcPr>
            <w:tcW w:type="dxa" w:w="1292"/>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Kept (% of previous step)</w:t>
            </w:r>
          </w:p>
        </w:tc>
        <w:tc>
          <w:tcPr>
            <w:tcW w:type="dxa" w:w="1294"/>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Kept (% of all records)</w:t>
            </w:r>
          </w:p>
        </w:tc>
      </w:tr>
      <w:tr>
        <w:trPr>
          <w:tblHeader w:val="off"/>
        </w:trPr>
        <w:tc>
          <w:tcPr>
            <w:tcW w:type="dxa" w:w="43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 All person records</w:t>
            </w:r>
          </w:p>
        </w:tc>
        <w:tc>
          <w:tcPr>
            <w:tcW w:type="dxa" w:w="116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2,951,994</w:t>
            </w:r>
          </w:p>
        </w:tc>
        <w:tc>
          <w:tcPr>
            <w:tcW w:type="dxa" w:w="116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w:t>
            </w:r>
          </w:p>
        </w:tc>
        <w:tc>
          <w:tcPr>
            <w:tcW w:type="dxa" w:w="129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w:t>
            </w:r>
          </w:p>
        </w:tc>
        <w:tc>
          <w:tcPr>
            <w:tcW w:type="dxa" w:w="12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100.0%</w:t>
            </w:r>
          </w:p>
        </w:tc>
      </w:tr>
      <w:tr>
        <w:trPr>
          <w:tblHeader w:val="off"/>
        </w:trPr>
        <w:tc>
          <w:tcPr>
            <w:tcW w:type="dxa" w:w="43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 Usual members only</w:t>
            </w:r>
          </w:p>
        </w:tc>
        <w:tc>
          <w:tcPr>
            <w:tcW w:type="dxa" w:w="116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2,949,407</w:t>
            </w:r>
          </w:p>
        </w:tc>
        <w:tc>
          <w:tcPr>
            <w:tcW w:type="dxa" w:w="116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2,587</w:t>
            </w:r>
          </w:p>
        </w:tc>
        <w:tc>
          <w:tcPr>
            <w:tcW w:type="dxa" w:w="129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99.9%</w:t>
            </w:r>
          </w:p>
        </w:tc>
        <w:tc>
          <w:tcPr>
            <w:tcW w:type="dxa" w:w="12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99.9%</w:t>
            </w:r>
          </w:p>
        </w:tc>
      </w:tr>
      <w:tr>
        <w:trPr>
          <w:tblHeader w:val="off"/>
        </w:trPr>
        <w:tc>
          <w:tcPr>
            <w:tcW w:type="dxa" w:w="43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3. Aged 15–64</w:t>
            </w:r>
          </w:p>
        </w:tc>
        <w:tc>
          <w:tcPr>
            <w:tcW w:type="dxa" w:w="116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2,065,295</w:t>
            </w:r>
          </w:p>
        </w:tc>
        <w:tc>
          <w:tcPr>
            <w:tcW w:type="dxa" w:w="116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884,112</w:t>
            </w:r>
          </w:p>
        </w:tc>
        <w:tc>
          <w:tcPr>
            <w:tcW w:type="dxa" w:w="129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70.0%</w:t>
            </w:r>
          </w:p>
        </w:tc>
        <w:tc>
          <w:tcPr>
            <w:tcW w:type="dxa" w:w="12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70.0%</w:t>
            </w:r>
          </w:p>
        </w:tc>
      </w:tr>
      <w:tr>
        <w:trPr>
          <w:tblHeader w:val="off"/>
        </w:trPr>
        <w:tc>
          <w:tcPr>
            <w:tcW w:type="dxa" w:w="43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 Employed (CWS)</w:t>
            </w:r>
          </w:p>
        </w:tc>
        <w:tc>
          <w:tcPr>
            <w:tcW w:type="dxa" w:w="116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1,002,899</w:t>
            </w:r>
          </w:p>
        </w:tc>
        <w:tc>
          <w:tcPr>
            <w:tcW w:type="dxa" w:w="116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1,062,396</w:t>
            </w:r>
          </w:p>
        </w:tc>
        <w:tc>
          <w:tcPr>
            <w:tcW w:type="dxa" w:w="129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48.6%</w:t>
            </w:r>
          </w:p>
        </w:tc>
        <w:tc>
          <w:tcPr>
            <w:tcW w:type="dxa" w:w="12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34.0%</w:t>
            </w:r>
          </w:p>
        </w:tc>
      </w:tr>
      <w:tr>
        <w:trPr>
          <w:tblHeader w:val="off"/>
        </w:trPr>
        <w:tc>
          <w:tcPr>
            <w:tcW w:type="dxa" w:w="43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5. Regular or casual wage employee</w:t>
            </w:r>
          </w:p>
        </w:tc>
        <w:tc>
          <w:tcPr>
            <w:tcW w:type="dxa" w:w="116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473,521</w:t>
            </w:r>
          </w:p>
        </w:tc>
        <w:tc>
          <w:tcPr>
            <w:tcW w:type="dxa" w:w="116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529,378</w:t>
            </w:r>
          </w:p>
        </w:tc>
        <w:tc>
          <w:tcPr>
            <w:tcW w:type="dxa" w:w="129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47.2%</w:t>
            </w:r>
          </w:p>
        </w:tc>
        <w:tc>
          <w:tcPr>
            <w:tcW w:type="dxa" w:w="12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16.0%</w:t>
            </w:r>
          </w:p>
        </w:tc>
      </w:tr>
      <w:tr>
        <w:trPr>
          <w:tblHeader w:val="off"/>
        </w:trPr>
        <w:tc>
          <w:tcPr>
            <w:tcW w:type="dxa" w:w="43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6. Valid earnings and hours</w:t>
            </w:r>
          </w:p>
        </w:tc>
        <w:tc>
          <w:tcPr>
            <w:tcW w:type="dxa" w:w="116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472,518</w:t>
            </w:r>
          </w:p>
        </w:tc>
        <w:tc>
          <w:tcPr>
            <w:tcW w:type="dxa" w:w="116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1,003</w:t>
            </w:r>
          </w:p>
        </w:tc>
        <w:tc>
          <w:tcPr>
            <w:tcW w:type="dxa" w:w="129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99.8%</w:t>
            </w:r>
          </w:p>
        </w:tc>
        <w:tc>
          <w:tcPr>
            <w:tcW w:type="dxa" w:w="12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16.0%</w:t>
            </w:r>
          </w:p>
        </w:tc>
      </w:tr>
      <w:tr>
        <w:trPr>
          <w:tblHeader w:val="off"/>
        </w:trPr>
        <w:tc>
          <w:tcPr>
            <w:tcW w:type="dxa" w:w="43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7. Wage outliers trimmed</w:t>
            </w:r>
          </w:p>
        </w:tc>
        <w:tc>
          <w:tcPr>
            <w:tcW w:type="dxa" w:w="116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468,538</w:t>
            </w:r>
          </w:p>
        </w:tc>
        <w:tc>
          <w:tcPr>
            <w:tcW w:type="dxa" w:w="116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3,980</w:t>
            </w:r>
          </w:p>
        </w:tc>
        <w:tc>
          <w:tcPr>
            <w:tcW w:type="dxa" w:w="129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99.2%</w:t>
            </w:r>
          </w:p>
        </w:tc>
        <w:tc>
          <w:tcPr>
            <w:tcW w:type="dxa" w:w="12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15.9%</w:t>
            </w:r>
          </w:p>
        </w:tc>
      </w:tr>
      <w:tr>
        <w:trPr>
          <w:tblHeader w:val="off"/>
        </w:trPr>
        <w:tc>
          <w:tcPr>
            <w:tcW w:type="dxa" w:w="43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8. Occupation matched to DTI</w:t>
            </w:r>
          </w:p>
        </w:tc>
        <w:tc>
          <w:tcPr>
            <w:tcW w:type="dxa" w:w="116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466,127</w:t>
            </w:r>
          </w:p>
        </w:tc>
        <w:tc>
          <w:tcPr>
            <w:tcW w:type="dxa" w:w="116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2,411</w:t>
            </w:r>
          </w:p>
        </w:tc>
        <w:tc>
          <w:tcPr>
            <w:tcW w:type="dxa" w:w="129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99.5%</w:t>
            </w:r>
          </w:p>
        </w:tc>
        <w:tc>
          <w:tcPr>
            <w:tcW w:type="dxa" w:w="12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15.8%</w:t>
            </w:r>
          </w:p>
        </w:tc>
      </w:tr>
      <w:tr>
        <w:trPr>
          <w:tblHeader w:val="off"/>
        </w:trPr>
        <w:tc>
          <w:tcPr>
            <w:tcW w:type="dxa" w:w="43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9. Positive weight</w:t>
            </w:r>
          </w:p>
        </w:tc>
        <w:tc>
          <w:tcPr>
            <w:tcW w:type="dxa" w:w="116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466,127</w:t>
            </w:r>
          </w:p>
        </w:tc>
        <w:tc>
          <w:tcPr>
            <w:tcW w:type="dxa" w:w="116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w:t>
            </w:r>
          </w:p>
        </w:tc>
        <w:tc>
          <w:tcPr>
            <w:tcW w:type="dxa" w:w="129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100.0%</w:t>
            </w:r>
          </w:p>
        </w:tc>
        <w:tc>
          <w:tcPr>
            <w:tcW w:type="dxa" w:w="12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15.8%</w:t>
            </w:r>
          </w:p>
        </w:tc>
      </w:tr>
      <w:tr>
        <w:trPr>
          <w:tblHeader w:val="off"/>
        </w:trPr>
        <w:tc>
          <w:tcPr>
            <w:tcW w:type="dxa" w:w="43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10. Complete covariates (M4)</w:t>
            </w:r>
          </w:p>
        </w:tc>
        <w:tc>
          <w:tcPr>
            <w:tcW w:type="dxa" w:w="116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c>
          <w:tcPr>
            <w:tcW w:type="dxa" w:w="1163"/>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32</w:t>
            </w:r>
          </w:p>
        </w:tc>
        <w:tc>
          <w:tcPr>
            <w:tcW w:type="dxa" w:w="129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100.0%</w:t>
            </w:r>
          </w:p>
        </w:tc>
        <w:tc>
          <w:tcPr>
            <w:tcW w:type="dxa" w:w="129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15.8%</w:t>
            </w:r>
          </w:p>
        </w:tc>
      </w:tr>
    </w:tbl>
    <w:p>
      <w:pPr>
        <w:spacing w:after="80"/>
      </w:pPr>
    </w:p>
    <w:p>
      <w:pPr>
        <w:spacing w:after="120" w:line="288"/>
        <w:jc w:val="both"/>
      </w:pPr>
      <w:r>
        <w:rPr>
          <w:rFonts w:ascii="Times New Roman" w:cs="Times New Roman" w:eastAsia="Times New Roman" w:hAnsi="Times New Roman"/>
        </w:rPr>
        <w:t xml:space="preserve">Panel B. Observations kept, by PLFS round</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
        <w:gridCol w:w="1229"/>
        <w:gridCol w:w="1229"/>
        <w:gridCol w:w="1229"/>
        <w:gridCol w:w="1229"/>
        <w:gridCol w:w="1229"/>
        <w:gridCol w:w="1229"/>
        <w:gridCol w:w="1230"/>
      </w:tblGrid>
      <w:tr>
        <w:trPr>
          <w:tblHeader/>
        </w:trPr>
        <w:tc>
          <w:tcPr>
            <w:tcW w:type="dxa" w:w="702"/>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Step</w:t>
            </w:r>
          </w:p>
        </w:tc>
        <w:tc>
          <w:tcPr>
            <w:tcW w:type="dxa" w:w="1229"/>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2017-18</w:t>
            </w:r>
          </w:p>
        </w:tc>
        <w:tc>
          <w:tcPr>
            <w:tcW w:type="dxa" w:w="1229"/>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2018-19</w:t>
            </w:r>
          </w:p>
        </w:tc>
        <w:tc>
          <w:tcPr>
            <w:tcW w:type="dxa" w:w="1229"/>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2019-20</w:t>
            </w:r>
          </w:p>
        </w:tc>
        <w:tc>
          <w:tcPr>
            <w:tcW w:type="dxa" w:w="1229"/>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2020-21</w:t>
            </w:r>
          </w:p>
        </w:tc>
        <w:tc>
          <w:tcPr>
            <w:tcW w:type="dxa" w:w="1229"/>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2021-22</w:t>
            </w:r>
          </w:p>
        </w:tc>
        <w:tc>
          <w:tcPr>
            <w:tcW w:type="dxa" w:w="1229"/>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2022-23</w:t>
            </w:r>
          </w:p>
        </w:tc>
        <w:tc>
          <w:tcPr>
            <w:tcW w:type="dxa" w:w="1230"/>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2023-24</w:t>
            </w:r>
          </w:p>
        </w:tc>
      </w:tr>
      <w:tr>
        <w:trPr>
          <w:tblHeader w:val="off"/>
        </w:trPr>
        <w:tc>
          <w:tcPr>
            <w:tcW w:type="dxa" w:w="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433,339</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420,757</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418,297</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413,405</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428,525</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419,512</w:t>
            </w:r>
          </w:p>
        </w:tc>
        <w:tc>
          <w:tcPr>
            <w:tcW w:type="dxa" w:w="12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418,159</w:t>
            </w:r>
          </w:p>
        </w:tc>
      </w:tr>
      <w:tr>
        <w:trPr>
          <w:tblHeader w:val="off"/>
        </w:trPr>
        <w:tc>
          <w:tcPr>
            <w:tcW w:type="dxa" w:w="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433,339</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420,757</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418,297</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410,818</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428,525</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419,512</w:t>
            </w:r>
          </w:p>
        </w:tc>
        <w:tc>
          <w:tcPr>
            <w:tcW w:type="dxa" w:w="12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418,159</w:t>
            </w:r>
          </w:p>
        </w:tc>
      </w:tr>
      <w:tr>
        <w:trPr>
          <w:tblHeader w:val="off"/>
        </w:trPr>
        <w:tc>
          <w:tcPr>
            <w:tcW w:type="dxa" w:w="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3</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304,831</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296,350</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293,457</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290,882</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298,313</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291,666</w:t>
            </w:r>
          </w:p>
        </w:tc>
        <w:tc>
          <w:tcPr>
            <w:tcW w:type="dxa" w:w="12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289,796</w:t>
            </w:r>
          </w:p>
        </w:tc>
      </w:tr>
      <w:tr>
        <w:trPr>
          <w:tblHeader w:val="off"/>
        </w:trPr>
        <w:tc>
          <w:tcPr>
            <w:tcW w:type="dxa" w:w="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135,215</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133,466</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132,632</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138,706</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147,604</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155,018</w:t>
            </w:r>
          </w:p>
        </w:tc>
        <w:tc>
          <w:tcPr>
            <w:tcW w:type="dxa" w:w="12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160,258</w:t>
            </w:r>
          </w:p>
        </w:tc>
      </w:tr>
      <w:tr>
        <w:trPr>
          <w:tblHeader w:val="off"/>
        </w:trPr>
        <w:tc>
          <w:tcPr>
            <w:tcW w:type="dxa" w:w="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5</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67,642</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66,711</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63,083</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64,847</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69,102</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70,493</w:t>
            </w:r>
          </w:p>
        </w:tc>
        <w:tc>
          <w:tcPr>
            <w:tcW w:type="dxa" w:w="12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71,643</w:t>
            </w:r>
          </w:p>
        </w:tc>
      </w:tr>
      <w:tr>
        <w:trPr>
          <w:tblHeader w:val="off"/>
        </w:trPr>
        <w:tc>
          <w:tcPr>
            <w:tcW w:type="dxa" w:w="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67,586</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66,641</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62,292</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64,837</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69,083</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70,471</w:t>
            </w:r>
          </w:p>
        </w:tc>
        <w:tc>
          <w:tcPr>
            <w:tcW w:type="dxa" w:w="12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71,608</w:t>
            </w:r>
          </w:p>
        </w:tc>
      </w:tr>
      <w:tr>
        <w:trPr>
          <w:tblHeader w:val="off"/>
        </w:trPr>
        <w:tc>
          <w:tcPr>
            <w:tcW w:type="dxa" w:w="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7</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67,055</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66,062</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61,739</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64,257</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68,495</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69,891</w:t>
            </w:r>
          </w:p>
        </w:tc>
        <w:tc>
          <w:tcPr>
            <w:tcW w:type="dxa" w:w="12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71,039</w:t>
            </w:r>
          </w:p>
        </w:tc>
      </w:tr>
      <w:tr>
        <w:trPr>
          <w:tblHeader w:val="off"/>
        </w:trPr>
        <w:tc>
          <w:tcPr>
            <w:tcW w:type="dxa" w:w="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8</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66,310</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65,908</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61,037</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64,096</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68,231</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69,688</w:t>
            </w:r>
          </w:p>
        </w:tc>
        <w:tc>
          <w:tcPr>
            <w:tcW w:type="dxa" w:w="12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70,857</w:t>
            </w:r>
          </w:p>
        </w:tc>
      </w:tr>
      <w:tr>
        <w:trPr>
          <w:tblHeader w:val="off"/>
        </w:trPr>
        <w:tc>
          <w:tcPr>
            <w:tcW w:type="dxa" w:w="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9</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66,310</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65,908</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61,037</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64,096</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68,231</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69,688</w:t>
            </w:r>
          </w:p>
        </w:tc>
        <w:tc>
          <w:tcPr>
            <w:tcW w:type="dxa" w:w="12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70,857</w:t>
            </w:r>
          </w:p>
        </w:tc>
      </w:tr>
      <w:tr>
        <w:trPr>
          <w:tblHeader w:val="off"/>
        </w:trPr>
        <w:tc>
          <w:tcPr>
            <w:tcW w:type="dxa" w:w="70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10</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66,310</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65,876</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61,037</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64,096</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68,231</w:t>
            </w:r>
          </w:p>
        </w:tc>
        <w:tc>
          <w:tcPr>
            <w:tcW w:type="dxa" w:w="1229"/>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69,688</w:t>
            </w:r>
          </w:p>
        </w:tc>
        <w:tc>
          <w:tcPr>
            <w:tcW w:type="dxa" w:w="12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70,857</w:t>
            </w:r>
          </w:p>
        </w:tc>
      </w:tr>
    </w:tbl>
    <w:p>
      <w:pPr>
        <w:spacing w:after="80"/>
      </w:pPr>
    </w:p>
    <w:p>
      <w:pPr>
        <w:spacing w:after="120" w:line="288"/>
        <w:jc w:val="both"/>
      </w:pPr>
      <w:r>
        <w:rPr>
          <w:rFonts w:ascii="Times New Roman" w:cs="Times New Roman" w:eastAsia="Times New Roman" w:hAnsi="Times New Roman"/>
        </w:rPr>
        <w:t xml:space="preserve">Notes: unweighted person records. Step 1: all records in the first-visit person files. Step 5: regular salaried or casual labour in the CWS. Step 6: positive earnings and hours, so an hourly wage can be computed. Step 9: positive survey weight. Step 2 removes temporary visitors (serial number ≥ 81), recorded from the 2020-21 round. Step 4 uses the current weekly status (principal activity in the reference week). Step 7: the trimming percentiles are computed within each round. Step 8: rounds up to 2020-21 code occupation in NCO-2004 and are linked to the NCO-2015-based DTI through the NCO-2015 → NCO-2004 concordance; unmatched codes are mainly armed forces (NCO-2004 010/099) and a few groups without Vol II descriptions. Step 10 equals the number of observations in the preferred regression (M4).</w:t>
      </w:r>
    </w:p>
    <w:p>
      <w:pPr>
        <w:pStyle w:val="Heading1"/>
        <w:spacing w:after="120" w:before="280"/>
      </w:pPr>
      <w:r>
        <w:rPr>
          <w:rFonts w:ascii="Times New Roman" w:cs="Times New Roman" w:eastAsia="Times New Roman" w:hAnsi="Times New Roman"/>
        </w:rPr>
        <w:t xml:space="preserve">Table S2. Descriptive statistics of the analytical sample (pooled 2017-18 to 2023-24)</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5"/>
        <w:gridCol w:w="672"/>
        <w:gridCol w:w="672"/>
        <w:gridCol w:w="672"/>
        <w:gridCol w:w="1457"/>
        <w:gridCol w:w="788"/>
      </w:tblGrid>
      <w:tr>
        <w:trPr>
          <w:tblHeader/>
        </w:trPr>
        <w:tc>
          <w:tcPr>
            <w:tcW w:type="dxa" w:w="5045"/>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Variable</w:t>
            </w:r>
          </w:p>
        </w:tc>
        <w:tc>
          <w:tcPr>
            <w:tcW w:type="dxa" w:w="672"/>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Mean / share</w:t>
            </w:r>
          </w:p>
        </w:tc>
        <w:tc>
          <w:tcPr>
            <w:tcW w:type="dxa" w:w="672"/>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SD</w:t>
            </w:r>
          </w:p>
        </w:tc>
        <w:tc>
          <w:tcPr>
            <w:tcW w:type="dxa" w:w="672"/>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Median</w:t>
            </w:r>
          </w:p>
        </w:tc>
        <w:tc>
          <w:tcPr>
            <w:tcW w:type="dxa" w:w="1457"/>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Min – max</w:t>
            </w:r>
          </w:p>
        </w:tc>
        <w:tc>
          <w:tcPr>
            <w:tcW w:type="dxa" w:w="788"/>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7"/>
                <w:szCs w:val="17"/>
              </w:rPr>
              <w:t xml:space="preserve">N</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Log hourly wage (outcome; nominal Rs.)</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3.87</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0.67</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3.91</w:t>
            </w: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1.64 – 6.18</w:t>
            </w: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Hourly wage, Rs. (nominal)</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61.96</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56.82</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50.00</w:t>
            </w: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5.13 – 481.14</w:t>
            </w: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Monthly earnings, Rs. (nominal)</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12,661</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11,783</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10,000</w:t>
            </w: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87 – 150,000</w:t>
            </w: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Hours worked per week</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47.57</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13.39</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48.00</w:t>
            </w: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1.00 – 140.00</w:t>
            </w: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 mean dimension score (0-4)</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0.21</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0.37</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0.07</w:t>
            </w: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0.00 – 1.98</w:t>
            </w: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DTI (z-score across occupations)</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-0.34</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0.56</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-0.55</w:t>
            </w: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-0.66 – 2.16</w:t>
            </w: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D1 basic digital operation (0-4)</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0.30</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0.43</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0.13</w:t>
            </w: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0.00 – 1.93</w:t>
            </w: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D2 information processing (0-4)</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0.35</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0.60</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0.09</w:t>
            </w: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0.00 – 3.29</w:t>
            </w: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D3 communication (0-4)</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0.08</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0.21</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0.00</w:t>
            </w: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0.00 – 1.17</w:t>
            </w: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D4 specialised tools (0-4)</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0.22</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0.45</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0.07</w:t>
            </w: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0.00 – 2.85</w:t>
            </w: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D5 problem solving / content (0-4)</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0.12</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0.43</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0.00</w:t>
            </w: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0.00 – 2.86</w:t>
            </w: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Age (years)</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36.77</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11.20</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36.00</w:t>
            </w: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15.00 – 64.00</w:t>
            </w: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Female</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23.6%</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Currently married</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74.1%</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Rural</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62.8%</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Education: up to primary</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39.5%</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Education: middle / secondary</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41.0%</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Education: tertiary (graduate+)</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19.5%</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Social group: Scheduled Tribe</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10.3%</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Social group: Scheduled Caste</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25.1%</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Social group: Other Backward Class</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40.2%</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Social group: Others</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24.3%</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Regular salaried</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51.1%</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Casual labour</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48.9%</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Social-security coverage (regular workers only)</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42.7%</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284,397</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Household size</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4.54</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1.97</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4.00</w:t>
            </w: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1.00 – 33.00</w:t>
            </w: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r>
        <w:trPr>
          <w:tblHeader w:val="off"/>
        </w:trPr>
        <w:tc>
          <w:tcPr>
            <w:tcW w:type="dxa" w:w="5045"/>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Observed in an NCO-2015 round (2021-24)</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1457"/>
            <w:tcBorders>
              <w:top w:val="single" w:color="999999" w:sz="4"/>
              <w:left w:val="single" w:color="999999" w:sz="4"/>
              <w:bottom w:val="single" w:color="999999" w:sz="4"/>
              <w:right w:val="single" w:color="999999" w:sz="4"/>
            </w:tcBorders>
            <w:tcMar>
              <w:top w:type="dxa" w:w="40"/>
              <w:left w:type="dxa" w:w="70"/>
              <w:bottom w:type="dxa" w:w="40"/>
              <w:right w:type="dxa" w:w="70"/>
            </w:tcMar>
          </w:tcPr>
          <w:p/>
        </w:tc>
        <w:tc>
          <w:tcPr>
            <w:tcW w:type="dxa" w:w="78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7"/>
                <w:szCs w:val="17"/>
              </w:rPr>
              <w:t xml:space="preserve">466,095</w:t>
            </w:r>
          </w:p>
        </w:tc>
      </w:tr>
    </w:tbl>
    <w:p>
      <w:pPr>
        <w:spacing w:after="80"/>
      </w:pPr>
    </w:p>
    <w:p>
      <w:pPr>
        <w:spacing w:after="120" w:line="288"/>
        <w:jc w:val="both"/>
      </w:pPr>
      <w:r>
        <w:rPr>
          <w:rFonts w:ascii="Times New Roman" w:cs="Times New Roman" w:eastAsia="Times New Roman" w:hAnsi="Times New Roman"/>
        </w:rPr>
        <w:t xml:space="preserve">Notes: means, shares and SDs weighted with PLFS annual weights; median and range unweighted. Wages and earnings are nominal rupees (no CPI deflator applied; year-quarter fixed effects absorb common inflation in the regressions). Hourly wage = monthly earnings / (weekly hours × 4.33) for regular workers and weekly earnings / weekly hours for casual workers. DTI = Digital Task Intensity of the worker's 3-digit occupation from the LLM coding of NCO-2015 texts (Qwen2.5-14B, strict rubric); dimensions on a 0–4 scale; the regressor is DTI standardised across workers (mean 0, SD 1). Social-security coverage is defined for regular salaried workers only.</w:t>
      </w:r>
    </w:p>
    <w:p>
      <w:pPr>
        <w:pStyle w:val="Heading1"/>
        <w:spacing w:after="120" w:before="280"/>
      </w:pPr>
      <w:r>
        <w:rPr>
          <w:rFonts w:ascii="Times New Roman" w:cs="Times New Roman" w:eastAsia="Times New Roman" w:hAnsi="Times New Roman"/>
        </w:rPr>
        <w:t xml:space="preserve">Table S3. Key characteristics by PLFS round</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4"/>
        <w:gridCol w:w="896"/>
        <w:gridCol w:w="672"/>
        <w:gridCol w:w="896"/>
        <w:gridCol w:w="560"/>
        <w:gridCol w:w="784"/>
        <w:gridCol w:w="448"/>
        <w:gridCol w:w="448"/>
        <w:gridCol w:w="448"/>
        <w:gridCol w:w="560"/>
        <w:gridCol w:w="560"/>
        <w:gridCol w:w="560"/>
        <w:gridCol w:w="560"/>
        <w:gridCol w:w="1130"/>
      </w:tblGrid>
      <w:tr>
        <w:trPr>
          <w:tblHeader/>
        </w:trPr>
        <w:tc>
          <w:tcPr>
            <w:tcW w:type="dxa" w:w="784"/>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Round</w:t>
            </w:r>
          </w:p>
        </w:tc>
        <w:tc>
          <w:tcPr>
            <w:tcW w:type="dxa" w:w="896"/>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Occupation code</w:t>
            </w:r>
          </w:p>
        </w:tc>
        <w:tc>
          <w:tcPr>
            <w:tcW w:type="dxa" w:w="672"/>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N</w:t>
            </w:r>
          </w:p>
        </w:tc>
        <w:tc>
          <w:tcPr>
            <w:tcW w:type="dxa" w:w="896"/>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Weighted (million)</w:t>
            </w:r>
          </w:p>
        </w:tc>
        <w:tc>
          <w:tcPr>
            <w:tcW w:type="dxa" w:w="560"/>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Occ. groups</w:t>
            </w:r>
          </w:p>
        </w:tc>
        <w:tc>
          <w:tcPr>
            <w:tcW w:type="dxa" w:w="784"/>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Hourly wage (Rs.)</w:t>
            </w:r>
          </w:p>
        </w:tc>
        <w:tc>
          <w:tcPr>
            <w:tcW w:type="dxa" w:w="448"/>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Log wage</w:t>
            </w:r>
          </w:p>
        </w:tc>
        <w:tc>
          <w:tcPr>
            <w:tcW w:type="dxa" w:w="448"/>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Hours/week</w:t>
            </w:r>
          </w:p>
        </w:tc>
        <w:tc>
          <w:tcPr>
            <w:tcW w:type="dxa" w:w="448"/>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DTI (0–4)</w:t>
            </w:r>
          </w:p>
        </w:tc>
        <w:tc>
          <w:tcPr>
            <w:tcW w:type="dxa" w:w="560"/>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Female</w:t>
            </w:r>
          </w:p>
        </w:tc>
        <w:tc>
          <w:tcPr>
            <w:tcW w:type="dxa" w:w="560"/>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Rural</w:t>
            </w:r>
          </w:p>
        </w:tc>
        <w:tc>
          <w:tcPr>
            <w:tcW w:type="dxa" w:w="560"/>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Tertiary</w:t>
            </w:r>
          </w:p>
        </w:tc>
        <w:tc>
          <w:tcPr>
            <w:tcW w:type="dxa" w:w="560"/>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Casual</w:t>
            </w:r>
          </w:p>
        </w:tc>
        <w:tc>
          <w:tcPr>
            <w:tcW w:type="dxa" w:w="1130"/>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Soc. security (regular)</w:t>
            </w:r>
          </w:p>
        </w:tc>
      </w:tr>
      <w:tr>
        <w:trPr>
          <w:tblHeader w:val="off"/>
        </w:trPr>
        <w:tc>
          <w:tcPr>
            <w:tcW w:type="dxa" w:w="78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2017-18</w:t>
            </w:r>
          </w:p>
        </w:tc>
        <w:tc>
          <w:tcPr>
            <w:tcW w:type="dxa" w:w="89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NCO-2004</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66,310</w:t>
            </w:r>
          </w:p>
        </w:tc>
        <w:tc>
          <w:tcPr>
            <w:tcW w:type="dxa" w:w="89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160.3</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111</w:t>
            </w:r>
          </w:p>
        </w:tc>
        <w:tc>
          <w:tcPr>
            <w:tcW w:type="dxa" w:w="78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46.4</w:t>
            </w:r>
          </w:p>
        </w:tc>
        <w:tc>
          <w:tcPr>
            <w:tcW w:type="dxa" w:w="44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3.59</w:t>
            </w:r>
          </w:p>
        </w:tc>
        <w:tc>
          <w:tcPr>
            <w:tcW w:type="dxa" w:w="44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51.5</w:t>
            </w:r>
          </w:p>
        </w:tc>
        <w:tc>
          <w:tcPr>
            <w:tcW w:type="dxa" w:w="44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0.21</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22.0%</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62.3%</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18.1%</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49.8%</w:t>
            </w:r>
          </w:p>
        </w:tc>
        <w:tc>
          <w:tcPr>
            <w:tcW w:type="dxa" w:w="11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40.0%</w:t>
            </w:r>
          </w:p>
        </w:tc>
      </w:tr>
      <w:tr>
        <w:trPr>
          <w:tblHeader w:val="off"/>
        </w:trPr>
        <w:tc>
          <w:tcPr>
            <w:tcW w:type="dxa" w:w="78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2018-19</w:t>
            </w:r>
          </w:p>
        </w:tc>
        <w:tc>
          <w:tcPr>
            <w:tcW w:type="dxa" w:w="89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NCO-2004</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65,876</w:t>
            </w:r>
          </w:p>
        </w:tc>
        <w:tc>
          <w:tcPr>
            <w:tcW w:type="dxa" w:w="89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165.4</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111</w:t>
            </w:r>
          </w:p>
        </w:tc>
        <w:tc>
          <w:tcPr>
            <w:tcW w:type="dxa" w:w="78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51.2</w:t>
            </w:r>
          </w:p>
        </w:tc>
        <w:tc>
          <w:tcPr>
            <w:tcW w:type="dxa" w:w="44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3.70</w:t>
            </w:r>
          </w:p>
        </w:tc>
        <w:tc>
          <w:tcPr>
            <w:tcW w:type="dxa" w:w="44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49.4</w:t>
            </w:r>
          </w:p>
        </w:tc>
        <w:tc>
          <w:tcPr>
            <w:tcW w:type="dxa" w:w="44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0.21</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22.1%</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61.1%</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19.1%</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48.2%</w:t>
            </w:r>
          </w:p>
        </w:tc>
        <w:tc>
          <w:tcPr>
            <w:tcW w:type="dxa" w:w="11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40.4%</w:t>
            </w:r>
          </w:p>
        </w:tc>
      </w:tr>
      <w:tr>
        <w:trPr>
          <w:tblHeader w:val="off"/>
        </w:trPr>
        <w:tc>
          <w:tcPr>
            <w:tcW w:type="dxa" w:w="78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2019-20</w:t>
            </w:r>
          </w:p>
        </w:tc>
        <w:tc>
          <w:tcPr>
            <w:tcW w:type="dxa" w:w="89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NCO-2004</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61,037</w:t>
            </w:r>
          </w:p>
        </w:tc>
        <w:tc>
          <w:tcPr>
            <w:tcW w:type="dxa" w:w="89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161.8</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111</w:t>
            </w:r>
          </w:p>
        </w:tc>
        <w:tc>
          <w:tcPr>
            <w:tcW w:type="dxa" w:w="78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56.2</w:t>
            </w:r>
          </w:p>
        </w:tc>
        <w:tc>
          <w:tcPr>
            <w:tcW w:type="dxa" w:w="44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3.76</w:t>
            </w:r>
          </w:p>
        </w:tc>
        <w:tc>
          <w:tcPr>
            <w:tcW w:type="dxa" w:w="44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48.3</w:t>
            </w:r>
          </w:p>
        </w:tc>
        <w:tc>
          <w:tcPr>
            <w:tcW w:type="dxa" w:w="44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0.21</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25.3%</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61.9%</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18.9%</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49.8%</w:t>
            </w:r>
          </w:p>
        </w:tc>
        <w:tc>
          <w:tcPr>
            <w:tcW w:type="dxa" w:w="11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41.1%</w:t>
            </w:r>
          </w:p>
        </w:tc>
      </w:tr>
      <w:tr>
        <w:trPr>
          <w:tblHeader w:val="off"/>
        </w:trPr>
        <w:tc>
          <w:tcPr>
            <w:tcW w:type="dxa" w:w="78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2020-21</w:t>
            </w:r>
          </w:p>
        </w:tc>
        <w:tc>
          <w:tcPr>
            <w:tcW w:type="dxa" w:w="89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NCO-2004</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64,096</w:t>
            </w:r>
          </w:p>
        </w:tc>
        <w:tc>
          <w:tcPr>
            <w:tcW w:type="dxa" w:w="89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166.9</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111</w:t>
            </w:r>
          </w:p>
        </w:tc>
        <w:tc>
          <w:tcPr>
            <w:tcW w:type="dxa" w:w="78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59.1</w:t>
            </w:r>
          </w:p>
        </w:tc>
        <w:tc>
          <w:tcPr>
            <w:tcW w:type="dxa" w:w="44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3.83</w:t>
            </w:r>
          </w:p>
        </w:tc>
        <w:tc>
          <w:tcPr>
            <w:tcW w:type="dxa" w:w="44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47.3</w:t>
            </w:r>
          </w:p>
        </w:tc>
        <w:tc>
          <w:tcPr>
            <w:tcW w:type="dxa" w:w="44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0.21</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24.6%</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63.8%</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18.7%</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51.2%</w:t>
            </w:r>
          </w:p>
        </w:tc>
        <w:tc>
          <w:tcPr>
            <w:tcW w:type="dxa" w:w="11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42.7%</w:t>
            </w:r>
          </w:p>
        </w:tc>
      </w:tr>
      <w:tr>
        <w:trPr>
          <w:tblHeader w:val="off"/>
        </w:trPr>
        <w:tc>
          <w:tcPr>
            <w:tcW w:type="dxa" w:w="78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2021-22</w:t>
            </w:r>
          </w:p>
        </w:tc>
        <w:tc>
          <w:tcPr>
            <w:tcW w:type="dxa" w:w="89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NCO-2015</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68,231</w:t>
            </w:r>
          </w:p>
        </w:tc>
        <w:tc>
          <w:tcPr>
            <w:tcW w:type="dxa" w:w="89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179.4</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122</w:t>
            </w:r>
          </w:p>
        </w:tc>
        <w:tc>
          <w:tcPr>
            <w:tcW w:type="dxa" w:w="78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66.6</w:t>
            </w:r>
          </w:p>
        </w:tc>
        <w:tc>
          <w:tcPr>
            <w:tcW w:type="dxa" w:w="44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3.97</w:t>
            </w:r>
          </w:p>
        </w:tc>
        <w:tc>
          <w:tcPr>
            <w:tcW w:type="dxa" w:w="44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46.2</w:t>
            </w:r>
          </w:p>
        </w:tc>
        <w:tc>
          <w:tcPr>
            <w:tcW w:type="dxa" w:w="44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0.21</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22.8%</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63.4%</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19.8%</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48.8%</w:t>
            </w:r>
          </w:p>
        </w:tc>
        <w:tc>
          <w:tcPr>
            <w:tcW w:type="dxa" w:w="11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43.7%</w:t>
            </w:r>
          </w:p>
        </w:tc>
      </w:tr>
      <w:tr>
        <w:trPr>
          <w:tblHeader w:val="off"/>
        </w:trPr>
        <w:tc>
          <w:tcPr>
            <w:tcW w:type="dxa" w:w="78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2022-23</w:t>
            </w:r>
          </w:p>
        </w:tc>
        <w:tc>
          <w:tcPr>
            <w:tcW w:type="dxa" w:w="89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NCO-2015</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69,688</w:t>
            </w:r>
          </w:p>
        </w:tc>
        <w:tc>
          <w:tcPr>
            <w:tcW w:type="dxa" w:w="89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194.6</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122</w:t>
            </w:r>
          </w:p>
        </w:tc>
        <w:tc>
          <w:tcPr>
            <w:tcW w:type="dxa" w:w="78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71.4</w:t>
            </w:r>
          </w:p>
        </w:tc>
        <w:tc>
          <w:tcPr>
            <w:tcW w:type="dxa" w:w="44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4.04</w:t>
            </w:r>
          </w:p>
        </w:tc>
        <w:tc>
          <w:tcPr>
            <w:tcW w:type="dxa" w:w="44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45.6</w:t>
            </w:r>
          </w:p>
        </w:tc>
        <w:tc>
          <w:tcPr>
            <w:tcW w:type="dxa" w:w="44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0.21</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23.3%</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65.0%</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19.4%</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49.4%</w:t>
            </w:r>
          </w:p>
        </w:tc>
        <w:tc>
          <w:tcPr>
            <w:tcW w:type="dxa" w:w="11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44.4%</w:t>
            </w:r>
          </w:p>
        </w:tc>
      </w:tr>
      <w:tr>
        <w:trPr>
          <w:tblHeader w:val="off"/>
        </w:trPr>
        <w:tc>
          <w:tcPr>
            <w:tcW w:type="dxa" w:w="78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2023-24</w:t>
            </w:r>
          </w:p>
        </w:tc>
        <w:tc>
          <w:tcPr>
            <w:tcW w:type="dxa" w:w="89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NCO-2015</w:t>
            </w:r>
          </w:p>
        </w:tc>
        <w:tc>
          <w:tcPr>
            <w:tcW w:type="dxa" w:w="67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70,857</w:t>
            </w:r>
          </w:p>
        </w:tc>
        <w:tc>
          <w:tcPr>
            <w:tcW w:type="dxa" w:w="89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196.2</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122</w:t>
            </w:r>
          </w:p>
        </w:tc>
        <w:tc>
          <w:tcPr>
            <w:tcW w:type="dxa" w:w="784"/>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77.5</w:t>
            </w:r>
          </w:p>
        </w:tc>
        <w:tc>
          <w:tcPr>
            <w:tcW w:type="dxa" w:w="44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4.11</w:t>
            </w:r>
          </w:p>
        </w:tc>
        <w:tc>
          <w:tcPr>
            <w:tcW w:type="dxa" w:w="44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45.7</w:t>
            </w:r>
          </w:p>
        </w:tc>
        <w:tc>
          <w:tcPr>
            <w:tcW w:type="dxa" w:w="448"/>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0.22</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24.6%</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62.1%</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21.8%</w:t>
            </w:r>
          </w:p>
        </w:tc>
        <w:tc>
          <w:tcPr>
            <w:tcW w:type="dxa" w:w="56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45.6%</w:t>
            </w:r>
          </w:p>
        </w:tc>
        <w:tc>
          <w:tcPr>
            <w:tcW w:type="dxa" w:w="113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45.5%</w:t>
            </w:r>
          </w:p>
        </w:tc>
      </w:tr>
    </w:tbl>
    <w:p>
      <w:pPr>
        <w:spacing w:after="80"/>
      </w:pPr>
    </w:p>
    <w:p>
      <w:pPr>
        <w:pStyle w:val="Heading1"/>
        <w:spacing w:after="120" w:before="280"/>
      </w:pPr>
      <w:r>
        <w:rPr>
          <w:rFonts w:ascii="Times New Roman" w:cs="Times New Roman" w:eastAsia="Times New Roman" w:hAnsi="Times New Roman"/>
        </w:rPr>
        <w:t xml:space="preserve">Table S4. Key characteristics by group</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2"/>
        <w:gridCol w:w="1970"/>
        <w:gridCol w:w="766"/>
        <w:gridCol w:w="656"/>
        <w:gridCol w:w="766"/>
        <w:gridCol w:w="437"/>
        <w:gridCol w:w="656"/>
        <w:gridCol w:w="656"/>
        <w:gridCol w:w="656"/>
        <w:gridCol w:w="1101"/>
      </w:tblGrid>
      <w:tr>
        <w:trPr>
          <w:tblHeader/>
        </w:trPr>
        <w:tc>
          <w:tcPr>
            <w:tcW w:type="dxa" w:w="1642"/>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By</w:t>
            </w:r>
          </w:p>
        </w:tc>
        <w:tc>
          <w:tcPr>
            <w:tcW w:type="dxa" w:w="1970"/>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Group</w:t>
            </w:r>
          </w:p>
        </w:tc>
        <w:tc>
          <w:tcPr>
            <w:tcW w:type="dxa" w:w="766"/>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N</w:t>
            </w:r>
          </w:p>
        </w:tc>
        <w:tc>
          <w:tcPr>
            <w:tcW w:type="dxa" w:w="656"/>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Weighted share</w:t>
            </w:r>
          </w:p>
        </w:tc>
        <w:tc>
          <w:tcPr>
            <w:tcW w:type="dxa" w:w="766"/>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Hourly wage (Rs.)</w:t>
            </w:r>
          </w:p>
        </w:tc>
        <w:tc>
          <w:tcPr>
            <w:tcW w:type="dxa" w:w="437"/>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DTI (0–4)</w:t>
            </w:r>
          </w:p>
        </w:tc>
        <w:tc>
          <w:tcPr>
            <w:tcW w:type="dxa" w:w="656"/>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Female</w:t>
            </w:r>
          </w:p>
        </w:tc>
        <w:tc>
          <w:tcPr>
            <w:tcW w:type="dxa" w:w="656"/>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Rural</w:t>
            </w:r>
          </w:p>
        </w:tc>
        <w:tc>
          <w:tcPr>
            <w:tcW w:type="dxa" w:w="656"/>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Tertiary</w:t>
            </w:r>
          </w:p>
        </w:tc>
        <w:tc>
          <w:tcPr>
            <w:tcW w:type="dxa" w:w="1101"/>
            <w:tcBorders>
              <w:top w:val="single" w:color="999999" w:sz="4"/>
              <w:left w:val="single" w:color="999999" w:sz="4"/>
              <w:bottom w:val="single" w:color="999999" w:sz="4"/>
              <w:right w:val="single" w:color="999999" w:sz="4"/>
            </w:tcBorders>
            <w:shd w:fill="E7ECF2" w:color="auto" w:val="clear"/>
            <w:tcMar>
              <w:top w:type="dxa" w:w="40"/>
              <w:left w:type="dxa" w:w="70"/>
              <w:bottom w:type="dxa" w:w="40"/>
              <w:right w:type="dxa" w:w="70"/>
            </w:tcMar>
          </w:tcPr>
          <w:p>
            <w:r>
              <w:rPr>
                <w:rFonts w:ascii="Times New Roman" w:cs="Times New Roman" w:eastAsia="Times New Roman" w:hAnsi="Times New Roman"/>
                <w:b/>
                <w:bCs/>
                <w:sz w:val="15"/>
                <w:szCs w:val="15"/>
              </w:rPr>
              <w:t xml:space="preserve">Soc. security (regular)</w:t>
            </w:r>
          </w:p>
        </w:tc>
      </w:tr>
      <w:tr>
        <w:trPr>
          <w:tblHeader w:val="off"/>
        </w:trPr>
        <w:tc>
          <w:tcPr>
            <w:tcW w:type="dxa" w:w="164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Employment type</w:t>
            </w:r>
          </w:p>
        </w:tc>
        <w:tc>
          <w:tcPr>
            <w:tcW w:type="dxa" w:w="19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Casual labour</w:t>
            </w:r>
          </w:p>
        </w:tc>
        <w:tc>
          <w:tcPr>
            <w:tcW w:type="dxa" w:w="76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181,698</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48.9%</w:t>
            </w:r>
          </w:p>
        </w:tc>
        <w:tc>
          <w:tcPr>
            <w:tcW w:type="dxa" w:w="76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42.4</w:t>
            </w:r>
          </w:p>
        </w:tc>
        <w:tc>
          <w:tcPr>
            <w:tcW w:type="dxa" w:w="43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0.03</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24.1%</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84.6%</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1.8%</w:t>
            </w:r>
          </w:p>
        </w:tc>
        <w:tc>
          <w:tcPr>
            <w:tcW w:type="dxa" w:w="110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w:t>
            </w:r>
          </w:p>
        </w:tc>
      </w:tr>
      <w:tr>
        <w:trPr>
          <w:tblHeader w:val="off"/>
        </w:trPr>
        <w:tc>
          <w:tcPr>
            <w:tcW w:type="dxa" w:w="164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Employment type</w:t>
            </w:r>
          </w:p>
        </w:tc>
        <w:tc>
          <w:tcPr>
            <w:tcW w:type="dxa" w:w="19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Regular salaried</w:t>
            </w:r>
          </w:p>
        </w:tc>
        <w:tc>
          <w:tcPr>
            <w:tcW w:type="dxa" w:w="76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284,397</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51.1%</w:t>
            </w:r>
          </w:p>
        </w:tc>
        <w:tc>
          <w:tcPr>
            <w:tcW w:type="dxa" w:w="76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80.6</w:t>
            </w:r>
          </w:p>
        </w:tc>
        <w:tc>
          <w:tcPr>
            <w:tcW w:type="dxa" w:w="43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0.39</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23.1%</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42.0%</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36.4%</w:t>
            </w:r>
          </w:p>
        </w:tc>
        <w:tc>
          <w:tcPr>
            <w:tcW w:type="dxa" w:w="110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42.7%</w:t>
            </w:r>
          </w:p>
        </w:tc>
      </w:tr>
      <w:tr>
        <w:trPr>
          <w:tblHeader w:val="off"/>
        </w:trPr>
        <w:tc>
          <w:tcPr>
            <w:tcW w:type="dxa" w:w="164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Sex</w:t>
            </w:r>
          </w:p>
        </w:tc>
        <w:tc>
          <w:tcPr>
            <w:tcW w:type="dxa" w:w="19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Men</w:t>
            </w:r>
          </w:p>
        </w:tc>
        <w:tc>
          <w:tcPr>
            <w:tcW w:type="dxa" w:w="76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357,949</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76.4%</w:t>
            </w:r>
          </w:p>
        </w:tc>
        <w:tc>
          <w:tcPr>
            <w:tcW w:type="dxa" w:w="76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65.2</w:t>
            </w:r>
          </w:p>
        </w:tc>
        <w:tc>
          <w:tcPr>
            <w:tcW w:type="dxa" w:w="43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0.22</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0.0%</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62.4%</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19.2%</w:t>
            </w:r>
          </w:p>
        </w:tc>
        <w:tc>
          <w:tcPr>
            <w:tcW w:type="dxa" w:w="110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43.2%</w:t>
            </w:r>
          </w:p>
        </w:tc>
      </w:tr>
      <w:tr>
        <w:trPr>
          <w:tblHeader w:val="off"/>
        </w:trPr>
        <w:tc>
          <w:tcPr>
            <w:tcW w:type="dxa" w:w="164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Sex</w:t>
            </w:r>
          </w:p>
        </w:tc>
        <w:tc>
          <w:tcPr>
            <w:tcW w:type="dxa" w:w="19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Women</w:t>
            </w:r>
          </w:p>
        </w:tc>
        <w:tc>
          <w:tcPr>
            <w:tcW w:type="dxa" w:w="76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108,146</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23.6%</w:t>
            </w:r>
          </w:p>
        </w:tc>
        <w:tc>
          <w:tcPr>
            <w:tcW w:type="dxa" w:w="76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51.5</w:t>
            </w:r>
          </w:p>
        </w:tc>
        <w:tc>
          <w:tcPr>
            <w:tcW w:type="dxa" w:w="43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0.18</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100.0%</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64.3%</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20.3%</w:t>
            </w:r>
          </w:p>
        </w:tc>
        <w:tc>
          <w:tcPr>
            <w:tcW w:type="dxa" w:w="110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41.0%</w:t>
            </w:r>
          </w:p>
        </w:tc>
      </w:tr>
      <w:tr>
        <w:trPr>
          <w:tblHeader w:val="off"/>
        </w:trPr>
        <w:tc>
          <w:tcPr>
            <w:tcW w:type="dxa" w:w="164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Sector</w:t>
            </w:r>
          </w:p>
        </w:tc>
        <w:tc>
          <w:tcPr>
            <w:tcW w:type="dxa" w:w="19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Urban</w:t>
            </w:r>
          </w:p>
        </w:tc>
        <w:tc>
          <w:tcPr>
            <w:tcW w:type="dxa" w:w="76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234,898</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37.2%</w:t>
            </w:r>
          </w:p>
        </w:tc>
        <w:tc>
          <w:tcPr>
            <w:tcW w:type="dxa" w:w="76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82.3</w:t>
            </w:r>
          </w:p>
        </w:tc>
        <w:tc>
          <w:tcPr>
            <w:tcW w:type="dxa" w:w="43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0.37</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22.7%</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0.0%</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33.4%</w:t>
            </w:r>
          </w:p>
        </w:tc>
        <w:tc>
          <w:tcPr>
            <w:tcW w:type="dxa" w:w="110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46.6%</w:t>
            </w:r>
          </w:p>
        </w:tc>
      </w:tr>
      <w:tr>
        <w:trPr>
          <w:tblHeader w:val="off"/>
        </w:trPr>
        <w:tc>
          <w:tcPr>
            <w:tcW w:type="dxa" w:w="164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Sector</w:t>
            </w:r>
          </w:p>
        </w:tc>
        <w:tc>
          <w:tcPr>
            <w:tcW w:type="dxa" w:w="19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Rural</w:t>
            </w:r>
          </w:p>
        </w:tc>
        <w:tc>
          <w:tcPr>
            <w:tcW w:type="dxa" w:w="76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231,197</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62.8%</w:t>
            </w:r>
          </w:p>
        </w:tc>
        <w:tc>
          <w:tcPr>
            <w:tcW w:type="dxa" w:w="76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49.9</w:t>
            </w:r>
          </w:p>
        </w:tc>
        <w:tc>
          <w:tcPr>
            <w:tcW w:type="dxa" w:w="43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0.12</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24.1%</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100.0%</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11.2%</w:t>
            </w:r>
          </w:p>
        </w:tc>
        <w:tc>
          <w:tcPr>
            <w:tcW w:type="dxa" w:w="110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37.3%</w:t>
            </w:r>
          </w:p>
        </w:tc>
      </w:tr>
      <w:tr>
        <w:trPr>
          <w:tblHeader w:val="off"/>
        </w:trPr>
        <w:tc>
          <w:tcPr>
            <w:tcW w:type="dxa" w:w="164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Education</w:t>
            </w:r>
          </w:p>
        </w:tc>
        <w:tc>
          <w:tcPr>
            <w:tcW w:type="dxa" w:w="19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Middle / secondary</w:t>
            </w:r>
          </w:p>
        </w:tc>
        <w:tc>
          <w:tcPr>
            <w:tcW w:type="dxa" w:w="76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219,383</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41.0%</w:t>
            </w:r>
          </w:p>
        </w:tc>
        <w:tc>
          <w:tcPr>
            <w:tcW w:type="dxa" w:w="76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53.7</w:t>
            </w:r>
          </w:p>
        </w:tc>
        <w:tc>
          <w:tcPr>
            <w:tcW w:type="dxa" w:w="43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0.17</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15.3%</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62.6%</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0.0%</w:t>
            </w:r>
          </w:p>
        </w:tc>
        <w:tc>
          <w:tcPr>
            <w:tcW w:type="dxa" w:w="110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32.9%</w:t>
            </w:r>
          </w:p>
        </w:tc>
      </w:tr>
      <w:tr>
        <w:trPr>
          <w:tblHeader w:val="off"/>
        </w:trPr>
        <w:tc>
          <w:tcPr>
            <w:tcW w:type="dxa" w:w="164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Education</w:t>
            </w:r>
          </w:p>
        </w:tc>
        <w:tc>
          <w:tcPr>
            <w:tcW w:type="dxa" w:w="19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Tertiary</w:t>
            </w:r>
          </w:p>
        </w:tc>
        <w:tc>
          <w:tcPr>
            <w:tcW w:type="dxa" w:w="76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106,531</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19.5%</w:t>
            </w:r>
          </w:p>
        </w:tc>
        <w:tc>
          <w:tcPr>
            <w:tcW w:type="dxa" w:w="76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122.9</w:t>
            </w:r>
          </w:p>
        </w:tc>
        <w:tc>
          <w:tcPr>
            <w:tcW w:type="dxa" w:w="43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0.63</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24.5%</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36.3%</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100.0%</w:t>
            </w:r>
          </w:p>
        </w:tc>
        <w:tc>
          <w:tcPr>
            <w:tcW w:type="dxa" w:w="110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68.8%</w:t>
            </w:r>
          </w:p>
        </w:tc>
      </w:tr>
      <w:tr>
        <w:trPr>
          <w:tblHeader w:val="off"/>
        </w:trPr>
        <w:tc>
          <w:tcPr>
            <w:tcW w:type="dxa" w:w="1642"/>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Education</w:t>
            </w:r>
          </w:p>
        </w:tc>
        <w:tc>
          <w:tcPr>
            <w:tcW w:type="dxa" w:w="1970"/>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Up to primary</w:t>
            </w:r>
          </w:p>
        </w:tc>
        <w:tc>
          <w:tcPr>
            <w:tcW w:type="dxa" w:w="76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140,181</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39.5%</w:t>
            </w:r>
          </w:p>
        </w:tc>
        <w:tc>
          <w:tcPr>
            <w:tcW w:type="dxa" w:w="76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40.5</w:t>
            </w:r>
          </w:p>
        </w:tc>
        <w:tc>
          <w:tcPr>
            <w:tcW w:type="dxa" w:w="437"/>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0.05</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31.7%</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76.2%</w:t>
            </w:r>
          </w:p>
        </w:tc>
        <w:tc>
          <w:tcPr>
            <w:tcW w:type="dxa" w:w="656"/>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0.0%</w:t>
            </w:r>
          </w:p>
        </w:tc>
        <w:tc>
          <w:tcPr>
            <w:tcW w:type="dxa" w:w="1101"/>
            <w:tcBorders>
              <w:top w:val="single" w:color="999999" w:sz="4"/>
              <w:left w:val="single" w:color="999999" w:sz="4"/>
              <w:bottom w:val="single" w:color="999999" w:sz="4"/>
              <w:right w:val="single" w:color="999999" w:sz="4"/>
            </w:tcBorders>
            <w:tcMar>
              <w:top w:type="dxa" w:w="40"/>
              <w:left w:type="dxa" w:w="70"/>
              <w:bottom w:type="dxa" w:w="40"/>
              <w:right w:type="dxa" w:w="70"/>
            </w:tcMar>
          </w:tcPr>
          <w:p>
            <w:r>
              <w:rPr>
                <w:rFonts w:ascii="Times New Roman" w:cs="Times New Roman" w:eastAsia="Times New Roman" w:hAnsi="Times New Roman"/>
                <w:b w:val="false"/>
                <w:bCs w:val="false"/>
                <w:sz w:val="15"/>
                <w:szCs w:val="15"/>
              </w:rPr>
              <w:t xml:space="preserve">15.5%</w:t>
            </w:r>
          </w:p>
        </w:tc>
      </w:tr>
    </w:tbl>
    <w:p>
      <w:pPr>
        <w:spacing w:after="80"/>
      </w:pPr>
    </w:p>
    <w:p>
      <w:pPr>
        <w:pStyle w:val="Heading1"/>
        <w:spacing w:after="120" w:before="280"/>
      </w:pPr>
      <w:r>
        <w:rPr>
          <w:rFonts w:ascii="Times New Roman" w:cs="Times New Roman" w:eastAsia="Times New Roman" w:hAnsi="Times New Roman"/>
        </w:rPr>
        <w:t xml:space="preserve">What the tables show</w:t>
      </w:r>
    </w:p>
    <w:p>
      <w:pPr>
        <w:pStyle w:val="ListParagraph"/>
        <w:numPr>
          <w:ilvl w:val="0"/>
          <w:numId w:val="2"/>
        </w:numPr>
        <w:spacing w:after="60" w:line="276"/>
      </w:pPr>
      <w:r>
        <w:rPr>
          <w:rFonts w:ascii="Times New Roman" w:cs="Times New Roman" w:eastAsia="Times New Roman" w:hAnsi="Times New Roman"/>
          <w:b/>
          <w:bCs/>
        </w:rPr>
        <w:t xml:space="preserve">Who is in the sample.</w:t>
      </w:r>
      <w:r>
        <w:rPr>
          <w:rFonts w:ascii="Times New Roman" w:cs="Times New Roman" w:eastAsia="Times New Roman" w:hAnsi="Times New Roman"/>
        </w:rPr>
        <w:t xml:space="preserve"> Wage employees are about half regular salaried (51%) and half casual labourers; 24% are women, 63% live in rural areas, 40% have at most primary education and 19% are graduates. Average age is 37 years and the average work week is 48 hours.</w:t>
      </w:r>
    </w:p>
    <w:p>
      <w:pPr>
        <w:pStyle w:val="ListParagraph"/>
        <w:numPr>
          <w:ilvl w:val="0"/>
          <w:numId w:val="2"/>
        </w:numPr>
        <w:spacing w:after="60" w:line="276"/>
      </w:pPr>
      <w:r>
        <w:rPr>
          <w:rFonts w:ascii="Times New Roman" w:cs="Times New Roman" w:eastAsia="Times New Roman" w:hAnsi="Times New Roman"/>
          <w:b/>
          <w:bCs/>
        </w:rPr>
        <w:t xml:space="preserve">Wages.</w:t>
      </w:r>
      <w:r>
        <w:rPr>
          <w:rFonts w:ascii="Times New Roman" w:cs="Times New Roman" w:eastAsia="Times New Roman" w:hAnsi="Times New Roman"/>
        </w:rPr>
        <w:t xml:space="preserve"> The mean hourly wage is Rs. 62 (median Rs. 50); it rises from Rs. 46 in 2017-18 to Rs. 78 in 2023-24 in nominal terms. Regular salaried workers earn about twice as much per hour as casual labourers, graduates about three times as much as workers with at most primary education, and men about 27% more than women.</w:t>
      </w:r>
    </w:p>
    <w:p>
      <w:pPr>
        <w:pStyle w:val="ListParagraph"/>
        <w:numPr>
          <w:ilvl w:val="0"/>
          <w:numId w:val="2"/>
        </w:numPr>
        <w:spacing w:after="60" w:line="276"/>
      </w:pPr>
      <w:r>
        <w:rPr>
          <w:rFonts w:ascii="Times New Roman" w:cs="Times New Roman" w:eastAsia="Times New Roman" w:hAnsi="Times New Roman"/>
          <w:b/>
          <w:bCs/>
        </w:rPr>
        <w:t xml:space="preserve">Digital task intensity.</w:t>
      </w:r>
      <w:r>
        <w:rPr>
          <w:rFonts w:ascii="Times New Roman" w:cs="Times New Roman" w:eastAsia="Times New Roman" w:hAnsi="Times New Roman"/>
        </w:rPr>
        <w:t xml:space="preserve"> The average worker's occupation scores 0.21 on the 0–4 scale (median 0.07): most Indian wage employees work in occupations whose official descriptions mention little digital work. DTI is far higher for regular than casual workers (0.39 vs 0.03), for urban than rural workers (0.37 vs 0.12) and for graduates (0.63) than for workers with at most primary education (0.05). It is stable across rounds (0.21–0.22), because it is a property of occupations: changes over time come only from shifts in the occupational composition of employment.</w:t>
      </w:r>
    </w:p>
    <w:p>
      <w:pPr>
        <w:pStyle w:val="ListParagraph"/>
        <w:numPr>
          <w:ilvl w:val="0"/>
          <w:numId w:val="2"/>
        </w:numPr>
        <w:spacing w:after="60" w:line="276"/>
      </w:pPr>
      <w:r>
        <w:rPr>
          <w:rFonts w:ascii="Times New Roman" w:cs="Times New Roman" w:eastAsia="Times New Roman" w:hAnsi="Times New Roman"/>
          <w:b/>
          <w:bCs/>
        </w:rPr>
        <w:t xml:space="preserve">Comparability across rounds.</w:t>
      </w:r>
      <w:r>
        <w:rPr>
          <w:rFonts w:ascii="Times New Roman" w:cs="Times New Roman" w:eastAsia="Times New Roman" w:hAnsi="Times New Roman"/>
        </w:rPr>
        <w:t xml:space="preserve"> Sample sizes (61–71 thousand per round) and composition are similar in the NCO-2004 rounds (2017-18 to 2020-21) and the NCO-2015 rounds (2021-22 to 2023-24), which supports pooling them with round-specific (year-quarter) fixed effects.</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Working draft — </w:t>
    </w:r>
    <w:r>
      <w:rPr>
        <w:rFonts w:ascii="Times New Roman" w:cs="Times New Roman" w:eastAsia="Times New Roman" w:hAnsi="Times New Roman"/>
        <w:color w:val="666666"/>
        <w:sz w:val="18"/>
        <w:szCs w:val="18"/>
      </w:rPr>
      <w:fldChar w:fldCharType="begin"/>
    </w:r>
    <w:r>
      <w:rPr>
        <w:rFonts w:ascii="Times New Roman" w:cs="Times New Roman" w:eastAsia="Times New Roman" w:hAnsi="Times New Roman"/>
        <w:color w:val="666666"/>
        <w:sz w:val="18"/>
        <w:szCs w:val="18"/>
      </w:rPr>
      <w:instrText xml:space="preserve">PAGE</w:instrText>
    </w:r>
    <w:r>
      <w:rPr>
        <w:rFonts w:ascii="Times New Roman" w:cs="Times New Roman" w:eastAsia="Times New Roman" w:hAnsi="Times New Roman"/>
        <w:color w:val="666666"/>
        <w:sz w:val="18"/>
        <w:szCs w:val="18"/>
      </w:rPr>
      <w:fldChar w:fldCharType="separate"/>
    </w:r>
    <w:r>
      <w:rPr>
        <w:rFonts w:ascii="Times New Roman" w:cs="Times New Roman" w:eastAsia="Times New Roman" w:hAnsi="Times New Roman"/>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Task Intensity of Indian Occupations — working draft</dc:title>
  <dc:creator>DTI project</dc:creator>
  <cp:lastModifiedBy>Un-named</cp:lastModifiedBy>
  <cp:revision>1</cp:revision>
  <dcterms:created xsi:type="dcterms:W3CDTF">2026-10-22T17:10:17.290Z</dcterms:created>
  <dcterms:modified xsi:type="dcterms:W3CDTF">2026-10-22T17:10:17.291Z</dcterms:modified>
</cp:coreProperties>
</file>

<file path=docProps/custom.xml><?xml version="1.0" encoding="utf-8"?>
<Properties xmlns="http://schemas.openxmlformats.org/officeDocument/2006/custom-properties" xmlns:vt="http://schemas.openxmlformats.org/officeDocument/2006/docPropsVTypes"/>
</file>