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Measuring the Digital Task Intensity of Indian Occupations Using Large Language Models: Evidence on Wage Premiums and Labour Market Inequality from PLFS</w:t>
      </w:r>
    </w:p>
    <w:p>
      <w:pPr>
        <w:spacing w:after="120" w:line="288"/>
        <w:jc w:val="center"/>
      </w:pPr>
      <w:r>
        <w:rPr>
          <w:rFonts w:ascii="Times New Roman" w:cs="Times New Roman" w:eastAsia="Times New Roman" w:hAnsi="Times New Roman"/>
        </w:rPr>
        <w:t xml:space="preserve">Anuja Nair (Institute of Technology, Nirma University) · Gunjan Anand (Institute of Management, Nirma University) · Samik Shome (Institute of Management, Nirma University)</w:t>
      </w:r>
    </w:p>
    <w:p>
      <w:pPr>
        <w:pBdr>
          <w:left w:val="single" w:color="C9A227" w:sz="18" w:space="8"/>
        </w:pBdr>
        <w:shd w:fill="FFF4CE" w:color="auto" w:val="clear"/>
        <w:spacing w:after="200" w:before="120" w:line="276"/>
      </w:pPr>
      <w:r>
        <w:rPr>
          <w:rFonts w:ascii="Times New Roman" w:cs="Times New Roman" w:eastAsia="Times New Roman" w:hAnsi="Times New Roman"/>
          <w:b/>
          <w:bCs/>
          <w:sz w:val="21"/>
          <w:szCs w:val="21"/>
        </w:rPr>
        <w:t xml:space="preserve">Note for co-authors (status on 21 October 2026).</w:t>
      </w:r>
      <w:r>
        <w:rPr>
          <w:rFonts w:ascii="Times New Roman" w:cs="Times New Roman" w:eastAsia="Times New Roman" w:hAnsi="Times New Roman"/>
          <w:sz w:val="21"/>
          <w:szCs w:val="21"/>
        </w:rPr>
        <w:t xml:space="preserve"> This draft follows the submitted extended abstract section by section. Sections 1–5 are complete. Section 6 still reports the pilot (6.1) and the wage analysis with the </w:t>
      </w:r>
      <w:r>
        <w:rPr>
          <w:rFonts w:ascii="Times New Roman" w:cs="Times New Roman" w:eastAsia="Times New Roman" w:hAnsi="Times New Roman"/>
          <w:b/>
          <w:bCs/>
          <w:sz w:val="21"/>
          <w:szCs w:val="21"/>
        </w:rPr>
        <w:t xml:space="preserve">O*NET-transferred</w:t>
      </w:r>
      <w:r>
        <w:rPr>
          <w:rFonts w:ascii="Times New Roman" w:cs="Times New Roman" w:eastAsia="Times New Roman" w:hAnsi="Times New Roman"/>
          <w:sz w:val="21"/>
          <w:szCs w:val="21"/>
        </w:rPr>
        <w:t xml:space="preserve"> measure (6.3–6.4, marked PRELIMINARY). </w:t>
      </w:r>
      <w:r>
        <w:rPr>
          <w:rFonts w:ascii="Times New Roman" w:cs="Times New Roman" w:eastAsia="Times New Roman" w:hAnsi="Times New Roman"/>
          <w:b/>
          <w:bCs/>
          <w:sz w:val="21"/>
          <w:szCs w:val="21"/>
        </w:rPr>
        <w:t xml:space="preserve">New since 20 October and not yet written into Section 6:</w:t>
      </w:r>
      <w:r>
        <w:rPr>
          <w:rFonts w:ascii="Times New Roman" w:cs="Times New Roman" w:eastAsia="Times New Roman" w:hAnsi="Times New Roman"/>
          <w:sz w:val="21"/>
          <w:szCs w:val="21"/>
        </w:rPr>
        <w:t xml:space="preserve"> the full LLM scoring of all 3,450 occupations with both models, run stability and cross-model agreement, the wage analysis with the NCO-LLM DTI (preferred estimate 4.1 log points, SE 1.3), the second-model robustness and the comparison of four machine-learning learners. All of it, with tables and interpretation, is in </w:t>
      </w:r>
      <w:r>
        <w:rPr>
          <w:rFonts w:ascii="Consolas" w:cs="Consolas" w:eastAsia="Consolas" w:hAnsi="Consolas"/>
          <w:sz w:val="19"/>
          <w:szCs w:val="19"/>
        </w:rPr>
        <w:t xml:space="preserve">docs/RESULTS.md</w:t>
      </w:r>
      <w:r>
        <w:rPr>
          <w:rFonts w:ascii="Times New Roman" w:cs="Times New Roman" w:eastAsia="Times New Roman" w:hAnsi="Times New Roman"/>
          <w:sz w:val="21"/>
          <w:szCs w:val="21"/>
        </w:rPr>
        <w:t xml:space="preserve">; the generated tables are in </w:t>
      </w:r>
      <w:r>
        <w:rPr>
          <w:rFonts w:ascii="Consolas" w:cs="Consolas" w:eastAsia="Consolas" w:hAnsi="Consolas"/>
          <w:sz w:val="19"/>
          <w:szCs w:val="19"/>
        </w:rPr>
        <w:t xml:space="preserve">paper/tables_llm.md</w:t>
      </w:r>
      <w:r>
        <w:rPr>
          <w:rFonts w:ascii="Times New Roman" w:cs="Times New Roman" w:eastAsia="Times New Roman" w:hAnsi="Times New Roman"/>
          <w:sz w:val="21"/>
          <w:szCs w:val="21"/>
        </w:rPr>
        <w:t xml:space="preserve">. RQ2 (same prompt on O*NET texts) finishes on 22 October. Human validation (</w:t>
      </w:r>
      <w:r>
        <w:rPr>
          <w:rFonts w:ascii="Times New Roman" w:cs="Times New Roman" w:eastAsia="Times New Roman" w:hAnsi="Times New Roman"/>
          <w:b/>
          <w:bCs/>
          <w:sz w:val="21"/>
          <w:szCs w:val="21"/>
          <w:highlight w:val="yellow"/>
        </w:rPr>
        <w:t xml:space="preserve">[PENDING-HUMAN]</w:t>
      </w:r>
      <w:r>
        <w:rPr>
          <w:rFonts w:ascii="Times New Roman" w:cs="Times New Roman" w:eastAsia="Times New Roman" w:hAnsi="Times New Roman"/>
          <w:sz w:val="21"/>
          <w:szCs w:val="21"/>
        </w:rPr>
        <w:t xml:space="preserve">): two rounds of coder forms were not usable (see </w:t>
      </w:r>
      <w:r>
        <w:rPr>
          <w:rFonts w:ascii="Consolas" w:cs="Consolas" w:eastAsia="Consolas" w:hAnsi="Consolas"/>
          <w:sz w:val="19"/>
          <w:szCs w:val="19"/>
        </w:rPr>
        <w:t xml:space="preserve">docs/RESULTS.md</w:t>
      </w:r>
      <w:r>
        <w:rPr>
          <w:rFonts w:ascii="Times New Roman" w:cs="Times New Roman" w:eastAsia="Times New Roman" w:hAnsi="Times New Roman"/>
          <w:sz w:val="21"/>
          <w:szCs w:val="21"/>
        </w:rPr>
        <w:t xml:space="preserve">, 3.5). Writing guide: </w:t>
      </w:r>
      <w:r>
        <w:rPr>
          <w:rFonts w:ascii="Consolas" w:cs="Consolas" w:eastAsia="Consolas" w:hAnsi="Consolas"/>
          <w:sz w:val="19"/>
          <w:szCs w:val="19"/>
        </w:rPr>
        <w:t xml:space="preserve">docs/PAPER_GUIDE.md</w:t>
      </w:r>
      <w:r>
        <w:rPr>
          <w:rFonts w:ascii="Times New Roman" w:cs="Times New Roman" w:eastAsia="Times New Roman" w:hAnsi="Times New Roman"/>
          <w:sz w:val="21"/>
          <w:szCs w:val="21"/>
        </w:rPr>
        <w:t xml:space="preserve">.</w:t>
      </w:r>
    </w:p>
    <w:p>
      <w:pPr>
        <w:pStyle w:val="Heading1"/>
        <w:spacing w:after="120" w:before="280"/>
      </w:pPr>
      <w:r>
        <w:rPr>
          <w:rFonts w:ascii="Times New Roman" w:cs="Times New Roman" w:eastAsia="Times New Roman" w:hAnsi="Times New Roman"/>
        </w:rPr>
        <w:t xml:space="preserve">Abstract</w:t>
      </w:r>
    </w:p>
    <w:p>
      <w:pPr>
        <w:spacing w:after="120" w:line="288"/>
        <w:jc w:val="left"/>
      </w:pPr>
      <w:r>
        <w:rPr>
          <w:rFonts w:ascii="Times New Roman" w:cs="Times New Roman" w:eastAsia="Times New Roman" w:hAnsi="Times New Roman"/>
          <w:i/>
          <w:iCs/>
        </w:rPr>
        <w:t xml:space="preserve">(As submitted; to be updated with headline numbers once the results are final.)</w:t>
      </w:r>
    </w:p>
    <w:p>
      <w:pPr>
        <w:spacing w:after="120" w:line="288"/>
        <w:jc w:val="both"/>
      </w:pPr>
      <w:r>
        <w:rPr>
          <w:rFonts w:ascii="Times New Roman" w:cs="Times New Roman" w:eastAsia="Times New Roman" w:hAnsi="Times New Roman"/>
        </w:rPr>
        <w:t xml:space="preserve">Digitalisation changes not only which occupations exist but also the tasks performed within them, yet Indian labour-force surveys record who works, where and for what pay, not the digital content of work. We construct an India-specific, multidimensional Digital Task Intensity (DTI) index from the official occupation descriptions of the National Classification of Occupations (NCO-2015), using a large language model (LLM) as a structured text-coding instrument governed by an explicit rubric, repeated-run stability tests, human validation and external benchmarking against O*NET. We link the index to Periodic Labour Force Survey (PLFS) microdata for 2017-18 to 2023-24 and estimate the conditional wage premium associated with working in a digitally intensive occupation, and how that premium varies by gender, education, rural–urban location and employment formality.</w:t>
      </w:r>
    </w:p>
    <w:p>
      <w:pPr>
        <w:pStyle w:val="Heading1"/>
        <w:spacing w:after="120" w:before="280"/>
      </w:pPr>
      <w:r>
        <w:rPr>
          <w:rFonts w:ascii="Times New Roman" w:cs="Times New Roman" w:eastAsia="Times New Roman" w:hAnsi="Times New Roman"/>
        </w:rPr>
        <w:t xml:space="preserve">1. Introduction</w:t>
      </w:r>
    </w:p>
    <w:p>
      <w:pPr>
        <w:spacing w:after="120" w:line="288"/>
        <w:jc w:val="both"/>
      </w:pPr>
      <w:r>
        <w:rPr>
          <w:rFonts w:ascii="Times New Roman" w:cs="Times New Roman" w:eastAsia="Times New Roman" w:hAnsi="Times New Roman"/>
        </w:rPr>
        <w:t xml:space="preserve">Digitalisation is transforming work by changing not only the types of occupations available in labour markets but also the tasks and skills required within occupations. The diffusion of computers, digital platforms, data-driven technologies, automation and artificial intelligence has raised the importance of digital capabilities across a broad range of occupations. Measuring the extent to which workers actually engage in digitally intensive work remains difficult, particularly in developing economies such as India. Labour-force surveys contain rich information on employment status, occupation, industry, education, wages, gender and location, but little direct information on the digital tasks workers perform. Understanding the labour-market returns to digitalisation therefore requires a credible occupation-level measure of digital-task intensity.</w:t>
      </w:r>
    </w:p>
    <w:p>
      <w:pPr>
        <w:spacing w:after="120" w:line="288"/>
        <w:jc w:val="both"/>
      </w:pPr>
      <w:r>
        <w:rPr>
          <w:rFonts w:ascii="Times New Roman" w:cs="Times New Roman" w:eastAsia="Times New Roman" w:hAnsi="Times New Roman"/>
        </w:rPr>
        <w:t xml:space="preserve">Task-based research on India provides the starting point. Vashisht and Dubey (2019) combine several rounds of the NSS Employment–Unemployment Survey with task measures from the US Occupational Information Network (O*NET), assigning 16 task items to occupations and aggregating them into five dimensions (non-routine cognitive analytical, non-routine cognitive interactive, routine cognitive, routine manual and non-routine manual). Non-routine cognitive task intensity rose substantially between 1983-84 and 2011-12 while manual task intensity fell; unlike in the United States and Europe, routine cognitive intensity did not decline. This approach raises a measurement question. O*NET describes the US labour market, and mapping its scores onto Indian occupations through crosswalks assumes that workers in equivalent occupational categories perform similar tasks in both countries. Existing task measures also distinguish cognitive, manual, routine and non-routine work rather than measuring </w:t>
      </w:r>
      <w:r>
        <w:rPr>
          <w:rFonts w:ascii="Times New Roman" w:cs="Times New Roman" w:eastAsia="Times New Roman" w:hAnsi="Times New Roman"/>
          <w:i/>
          <w:iCs/>
        </w:rPr>
        <w:t xml:space="preserve">digital</w:t>
      </w:r>
      <w:r>
        <w:rPr>
          <w:rFonts w:ascii="Times New Roman" w:cs="Times New Roman" w:eastAsia="Times New Roman" w:hAnsi="Times New Roman"/>
        </w:rPr>
        <w:t xml:space="preserve"> task content directly.</w:t>
      </w:r>
    </w:p>
    <w:p>
      <w:pPr>
        <w:spacing w:after="120" w:line="288"/>
        <w:jc w:val="both"/>
      </w:pPr>
      <w:r>
        <w:rPr>
          <w:rFonts w:ascii="Times New Roman" w:cs="Times New Roman" w:eastAsia="Times New Roman" w:hAnsi="Times New Roman"/>
        </w:rPr>
        <w:t xml:space="preserve">This paper addresses that gap. We build an India-specific DTI index from the textual descriptions of Indian occupations in NCO-2015, using an LLM as a measurement instrument rather than as a predictor: the model applies an explicit, published rubric to the official text, quotes the words that justify each score, and is checked for run-to-run stability, cross-model agreement, agreement with human coders and correspondence with an O*NET-based measure. We then link the index to PLFS microdata to estimate the conditional wage premium associated with digitally intensive occupations and its distribution across groups of workers.</w:t>
      </w:r>
    </w:p>
    <w:p>
      <w:pPr>
        <w:spacing w:after="120" w:line="288"/>
        <w:jc w:val="both"/>
      </w:pPr>
      <w:r>
        <w:rPr>
          <w:rFonts w:ascii="Times New Roman" w:cs="Times New Roman" w:eastAsia="Times New Roman" w:hAnsi="Times New Roman"/>
          <w:b/>
          <w:bCs/>
        </w:rPr>
        <w:t xml:space="preserve">Research questions.</w:t>
      </w:r>
    </w:p>
    <w:p>
      <w:pPr>
        <w:pStyle w:val="ListParagraph"/>
        <w:numPr>
          <w:ilvl w:val="0"/>
          <w:numId w:val="2"/>
        </w:numPr>
        <w:spacing w:after="60" w:line="276"/>
      </w:pPr>
      <w:r>
        <w:rPr>
          <w:rFonts w:ascii="Times New Roman" w:cs="Times New Roman" w:eastAsia="Times New Roman" w:hAnsi="Times New Roman"/>
          <w:b/>
          <w:bCs/>
        </w:rPr>
        <w:t xml:space="preserve">RQ1.</w:t>
      </w:r>
      <w:r>
        <w:rPr>
          <w:rFonts w:ascii="Times New Roman" w:cs="Times New Roman" w:eastAsia="Times New Roman" w:hAnsi="Times New Roman"/>
        </w:rPr>
        <w:t xml:space="preserve"> Can occupational descriptions in India's NCO be transformed into a reliable and reproducible measure of digital-task intensity using LLMs?</w:t>
      </w:r>
    </w:p>
    <w:p>
      <w:pPr>
        <w:pStyle w:val="ListParagraph"/>
        <w:numPr>
          <w:ilvl w:val="0"/>
          <w:numId w:val="2"/>
        </w:numPr>
        <w:spacing w:after="60" w:line="276"/>
      </w:pPr>
      <w:r>
        <w:rPr>
          <w:rFonts w:ascii="Times New Roman" w:cs="Times New Roman" w:eastAsia="Times New Roman" w:hAnsi="Times New Roman"/>
          <w:b/>
          <w:bCs/>
        </w:rPr>
        <w:t xml:space="preserve">RQ2.</w:t>
      </w:r>
      <w:r>
        <w:rPr>
          <w:rFonts w:ascii="Times New Roman" w:cs="Times New Roman" w:eastAsia="Times New Roman" w:hAnsi="Times New Roman"/>
        </w:rPr>
        <w:t xml:space="preserve"> To what extent does an India-specific measure of digital-task intensity differ from an equivalent measure transferred from O*NET?</w:t>
      </w:r>
    </w:p>
    <w:p>
      <w:pPr>
        <w:pStyle w:val="ListParagraph"/>
        <w:numPr>
          <w:ilvl w:val="0"/>
          <w:numId w:val="2"/>
        </w:numPr>
        <w:spacing w:after="60" w:line="276"/>
      </w:pPr>
      <w:r>
        <w:rPr>
          <w:rFonts w:ascii="Times New Roman" w:cs="Times New Roman" w:eastAsia="Times New Roman" w:hAnsi="Times New Roman"/>
          <w:b/>
          <w:bCs/>
        </w:rPr>
        <w:t xml:space="preserve">RQ3.</w:t>
      </w:r>
      <w:r>
        <w:rPr>
          <w:rFonts w:ascii="Times New Roman" w:cs="Times New Roman" w:eastAsia="Times New Roman" w:hAnsi="Times New Roman"/>
        </w:rPr>
        <w:t xml:space="preserve"> Is employment in a digitally intensive occupation associated with a wage premium after accounting for observable worker, occupation, industry and geographical characteristics?</w:t>
      </w:r>
    </w:p>
    <w:p>
      <w:pPr>
        <w:pStyle w:val="ListParagraph"/>
        <w:numPr>
          <w:ilvl w:val="0"/>
          <w:numId w:val="2"/>
        </w:numPr>
        <w:spacing w:after="60" w:line="276"/>
      </w:pPr>
      <w:r>
        <w:rPr>
          <w:rFonts w:ascii="Times New Roman" w:cs="Times New Roman" w:eastAsia="Times New Roman" w:hAnsi="Times New Roman"/>
          <w:b/>
          <w:bCs/>
        </w:rPr>
        <w:t xml:space="preserve">RQ4.</w:t>
      </w:r>
      <w:r>
        <w:rPr>
          <w:rFonts w:ascii="Times New Roman" w:cs="Times New Roman" w:eastAsia="Times New Roman" w:hAnsi="Times New Roman"/>
        </w:rPr>
        <w:t xml:space="preserve"> Is this conditional digital occupational premium distributed uniformly, or does it vary by gender, educational attainment, rural–urban location, employment formality and other dimensions of labour-market segmentation?</w:t>
      </w:r>
    </w:p>
    <w:p>
      <w:pPr>
        <w:spacing w:after="120" w:line="288"/>
        <w:jc w:val="both"/>
      </w:pPr>
      <w:r>
        <w:rPr>
          <w:rFonts w:ascii="Times New Roman" w:cs="Times New Roman" w:eastAsia="Times New Roman" w:hAnsi="Times New Roman"/>
          <w:b/>
          <w:bCs/>
        </w:rPr>
        <w:t xml:space="preserve">Contributions.</w:t>
      </w:r>
      <w:r>
        <w:rPr>
          <w:rFonts w:ascii="Times New Roman" w:cs="Times New Roman" w:eastAsia="Times New Roman" w:hAnsi="Times New Roman"/>
        </w:rPr>
        <w:t xml:space="preserve"> The first is a </w:t>
      </w:r>
      <w:r>
        <w:rPr>
          <w:rFonts w:ascii="Times New Roman" w:cs="Times New Roman" w:eastAsia="Times New Roman" w:hAnsi="Times New Roman"/>
          <w:i/>
          <w:iCs/>
        </w:rPr>
        <w:t xml:space="preserve">measurement</w:t>
      </w:r>
      <w:r>
        <w:rPr>
          <w:rFonts w:ascii="Times New Roman" w:cs="Times New Roman" w:eastAsia="Times New Roman" w:hAnsi="Times New Roman"/>
        </w:rPr>
        <w:t xml:space="preserve"> contribution: an India-specific DTI derived directly from NCO occupation text, reducing reliance on the assumption that US task structures transfer to India. The second is </w:t>
      </w:r>
      <w:r>
        <w:rPr>
          <w:rFonts w:ascii="Times New Roman" w:cs="Times New Roman" w:eastAsia="Times New Roman" w:hAnsi="Times New Roman"/>
          <w:i/>
          <w:iCs/>
        </w:rPr>
        <w:t xml:space="preserve">methodological</w:t>
      </w:r>
      <w:r>
        <w:rPr>
          <w:rFonts w:ascii="Times New Roman" w:cs="Times New Roman" w:eastAsia="Times New Roman" w:hAnsi="Times New Roman"/>
        </w:rPr>
        <w:t xml:space="preserve">: a transparent use of generative AI for economic measurement, in which the LLM is a structured text-coding instrument governed by a taxonomy, repeated reliability testing, human validation and external benchmarking. The third is </w:t>
      </w:r>
      <w:r>
        <w:rPr>
          <w:rFonts w:ascii="Times New Roman" w:cs="Times New Roman" w:eastAsia="Times New Roman" w:hAnsi="Times New Roman"/>
          <w:i/>
          <w:iCs/>
        </w:rPr>
        <w:t xml:space="preserve">empirical and policy-oriented</w:t>
      </w:r>
      <w:r>
        <w:rPr>
          <w:rFonts w:ascii="Times New Roman" w:cs="Times New Roman" w:eastAsia="Times New Roman" w:hAnsi="Times New Roman"/>
        </w:rPr>
        <w:t xml:space="preserve">: evidence from nationally representative PLFS data on whether occupational digitalisation is associated with higher wages and whether these gains are shared across education, gender, geography and formal/informal employment.</w:t>
      </w:r>
    </w:p>
    <w:p>
      <w:pPr>
        <w:pStyle w:val="Heading1"/>
        <w:spacing w:after="120" w:before="280"/>
      </w:pPr>
      <w:r>
        <w:rPr>
          <w:rFonts w:ascii="Times New Roman" w:cs="Times New Roman" w:eastAsia="Times New Roman" w:hAnsi="Times New Roman"/>
        </w:rPr>
        <w:t xml:space="preserve">2. Related literature</w:t>
      </w:r>
    </w:p>
    <w:p>
      <w:pPr>
        <w:spacing w:after="120" w:line="288"/>
        <w:jc w:val="both"/>
      </w:pPr>
      <w:r>
        <w:rPr>
          <w:rFonts w:ascii="Times New Roman" w:cs="Times New Roman" w:eastAsia="Times New Roman" w:hAnsi="Times New Roman"/>
          <w:b/>
          <w:bCs/>
        </w:rPr>
        <w:t xml:space="preserve">Task content of Indian employment.</w:t>
      </w:r>
      <w:r>
        <w:rPr>
          <w:rFonts w:ascii="Times New Roman" w:cs="Times New Roman" w:eastAsia="Times New Roman" w:hAnsi="Times New Roman"/>
        </w:rPr>
        <w:t xml:space="preserve"> Vashisht and Dubey (2019) document the changing task content of Indian jobs using O*NET task items mapped to NCO codes. Sharma, Gupta and Estupinan (2020) show that NCO occupation descriptions can be rated directly (for work-from-home feasibility) and linked to PLFS through NCO-2015 to NCO-2004 crosswalks, a route this paper follows for digital tasks.</w:t>
      </w:r>
    </w:p>
    <w:p>
      <w:pPr>
        <w:spacing w:after="120" w:line="288"/>
        <w:jc w:val="both"/>
      </w:pPr>
      <w:r>
        <w:rPr>
          <w:rFonts w:ascii="Times New Roman" w:cs="Times New Roman" w:eastAsia="Times New Roman" w:hAnsi="Times New Roman"/>
          <w:b/>
          <w:bCs/>
        </w:rPr>
        <w:t xml:space="preserve">Digital task indices.</w:t>
      </w:r>
      <w:r>
        <w:rPr>
          <w:rFonts w:ascii="Times New Roman" w:cs="Times New Roman" w:eastAsia="Times New Roman" w:hAnsi="Times New Roman"/>
        </w:rPr>
        <w:t xml:space="preserve"> Cirillo et al. (2021) construct a digital-use index and a digital-task index for Italian occupations from the INAPP-ISTAT occupational survey and relate digitalisation and routineness to employment growth. Stöllinger and Guarascio (2025) replicate the digital task index for the United States from O*NET task statements using a keyword approach and compare EU and US digital task endowments; the two indices correlate at 0.89 despite different sources and classifications. Muro et al. (2017) score US occupations on two O*NET items (computer and electronics knowledge; working with computers).</w:t>
      </w:r>
    </w:p>
    <w:p>
      <w:pPr>
        <w:spacing w:after="120" w:line="288"/>
        <w:jc w:val="both"/>
      </w:pPr>
      <w:r>
        <w:rPr>
          <w:rFonts w:ascii="Times New Roman" w:cs="Times New Roman" w:eastAsia="Times New Roman" w:hAnsi="Times New Roman"/>
          <w:b/>
          <w:bCs/>
        </w:rPr>
        <w:t xml:space="preserve">Digital skills and wages.</w:t>
      </w:r>
      <w:r>
        <w:rPr>
          <w:rFonts w:ascii="Times New Roman" w:cs="Times New Roman" w:eastAsia="Times New Roman" w:hAnsi="Times New Roman"/>
        </w:rPr>
        <w:t xml:space="preserve"> Adrjan et al. (2026) use an LLM to classify millions of online job postings in six Asia-Pacific economies by required digital proficiency, validate it against human annotators (about 80% agreement, comparable to agreement between humans), and estimate within-job-title wage premia of roughly 4%, 11% and 26% for basic, intermediate and advanced digital skills. Sami (2026) estimates returns to digital skills in Egypt with Mincer, quantile and selection models and finds larger returns for women.</w:t>
      </w:r>
    </w:p>
    <w:p>
      <w:pPr>
        <w:spacing w:after="120" w:line="288"/>
        <w:jc w:val="both"/>
      </w:pPr>
      <w:r>
        <w:rPr>
          <w:rFonts w:ascii="Times New Roman" w:cs="Times New Roman" w:eastAsia="Times New Roman" w:hAnsi="Times New Roman"/>
          <w:b/>
          <w:bCs/>
        </w:rPr>
        <w:t xml:space="preserve">LLMs as measurement instruments.</w:t>
      </w:r>
      <w:r>
        <w:rPr>
          <w:rFonts w:ascii="Times New Roman" w:cs="Times New Roman" w:eastAsia="Times New Roman" w:hAnsi="Times New Roman"/>
        </w:rPr>
        <w:t xml:space="preserve"> LLMs have been used to score occupational exposure to AI (Eloundou et al., 2024) and to classify job ads (Adrjan et al., 2026). We use the same family of tools for a different purpose: converting official occupational text into a validated quantitative indicator where no survey measure exists.</w:t>
      </w:r>
    </w:p>
    <w:p>
      <w:pPr>
        <w:pStyle w:val="Heading1"/>
        <w:spacing w:after="120" w:before="280"/>
      </w:pPr>
      <w:r>
        <w:rPr>
          <w:rFonts w:ascii="Times New Roman" w:cs="Times New Roman" w:eastAsia="Times New Roman" w:hAnsi="Times New Roman"/>
        </w:rPr>
        <w:t xml:space="preserve">3. Data</w:t>
      </w:r>
    </w:p>
    <w:p>
      <w:pPr>
        <w:pStyle w:val="Heading2"/>
        <w:spacing w:after="100" w:before="200"/>
      </w:pPr>
      <w:r>
        <w:rPr>
          <w:rFonts w:ascii="Times New Roman" w:cs="Times New Roman" w:eastAsia="Times New Roman" w:hAnsi="Times New Roman"/>
        </w:rPr>
        <w:t xml:space="preserve">3.1 Occupation descriptions: NCO-2015</w:t>
      </w:r>
    </w:p>
    <w:p>
      <w:pPr>
        <w:spacing w:after="120" w:line="288"/>
        <w:jc w:val="both"/>
      </w:pPr>
      <w:r>
        <w:rPr>
          <w:rFonts w:ascii="Times New Roman" w:cs="Times New Roman" w:eastAsia="Times New Roman" w:hAnsi="Times New Roman"/>
        </w:rPr>
        <w:t xml:space="preserve">The National Classification of Occupations 2015 (Ministry of Labour and Employment) follows ISCO-08 to the four-digit unit-group level and extends it to eight-digit occupations. Volume II provides a textual description for each occupation. Our corpus contains all </w:t>
      </w:r>
      <w:r>
        <w:rPr>
          <w:rFonts w:ascii="Times New Roman" w:cs="Times New Roman" w:eastAsia="Times New Roman" w:hAnsi="Times New Roman"/>
          <w:b/>
          <w:bCs/>
        </w:rPr>
        <w:t xml:space="preserve">3,450</w:t>
      </w:r>
      <w:r>
        <w:rPr>
          <w:rFonts w:ascii="Times New Roman" w:cs="Times New Roman" w:eastAsia="Times New Roman" w:hAnsi="Times New Roman"/>
        </w:rPr>
        <w:t xml:space="preserve"> eight-digit occupations with descriptions (Division 0, armed forces, has none), grouped into 373 four-digit families and 122 three-digit groups. Descriptions have a median length of 89 words. Only 5.7% of descriptions use any explicitly digital term (computer, software, internet, online, e-mail, programming, database, spreadsheet, CNC, CAD), ranging from 16.5% among professionals to 0% among skilled agricultural workers. This sparsity motivates the rubric design in Section 4.</w:t>
      </w:r>
    </w:p>
    <w:p>
      <w:pPr>
        <w:pStyle w:val="Heading2"/>
        <w:spacing w:after="100" w:before="200"/>
      </w:pPr>
      <w:r>
        <w:rPr>
          <w:rFonts w:ascii="Times New Roman" w:cs="Times New Roman" w:eastAsia="Times New Roman" w:hAnsi="Times New Roman"/>
        </w:rPr>
        <w:t xml:space="preserve">3.2 Labour-market data: PLFS 2017-18 to 2023-24</w:t>
      </w:r>
    </w:p>
    <w:p>
      <w:pPr>
        <w:spacing w:after="120" w:line="288"/>
        <w:jc w:val="both"/>
      </w:pPr>
      <w:r>
        <w:rPr>
          <w:rFonts w:ascii="Times New Roman" w:cs="Times New Roman" w:eastAsia="Times New Roman" w:hAnsi="Times New Roman"/>
        </w:rPr>
        <w:t xml:space="preserve">We use the seven annual July–June rounds of the Periodic Labour Force Survey, first-visit person and household files. Occupation is recorded at the three-digit level in NCO-2004 up to 2020-21 and NCO-2015 from 2021-22. Each worker receives the DTI of the three-digit occupation in the round's classification (Section 4.5). Wages and occupation refer to the current weekly status (CWS). Hourly wages are monthly regular earnings divided by weekly hours × 4.33, weekly casual earnings divided by weekly hours, and (for the self-employed, analysed separately) earnings over the last 30 days divided by hours over 30/7 weeks; the top and bottom 0.5% are trimmed within each round. Survey weights follow the PLFS documentation (MULT/100 if NSS = NSC, otherwise MULT/200, divided by the number of quarters for annual estimates). Religion, social group and household composition come from the household file. The pooled data contain 2.95 million persons; the main analysis sample consists of regular and casual wage earners aged 15–64 with a valid hourly wage and a DTI (</w:t>
      </w:r>
      <w:r>
        <w:rPr>
          <w:rFonts w:ascii="Times New Roman" w:cs="Times New Roman" w:eastAsia="Times New Roman" w:hAnsi="Times New Roman"/>
          <w:b/>
          <w:bCs/>
        </w:rPr>
        <w:t xml:space="preserve">see Table 1</w:t>
      </w:r>
      <w:r>
        <w:rPr>
          <w:rFonts w:ascii="Times New Roman" w:cs="Times New Roman" w:eastAsia="Times New Roman" w:hAnsi="Times New Roman"/>
        </w:rPr>
        <w:t xml:space="preserve">). As a check on the harmonisation, our CWS unemployment rates for 2017-18 (8.9%) and 2018-19 (8.8%) reproduce the published estimates.</w:t>
      </w:r>
    </w:p>
    <w:p>
      <w:pPr>
        <w:pStyle w:val="Heading2"/>
        <w:spacing w:after="100" w:before="200"/>
      </w:pPr>
      <w:r>
        <w:rPr>
          <w:rFonts w:ascii="Times New Roman" w:cs="Times New Roman" w:eastAsia="Times New Roman" w:hAnsi="Times New Roman"/>
        </w:rPr>
        <w:t xml:space="preserve">3.3 O*NET</w:t>
      </w:r>
    </w:p>
    <w:p>
      <w:pPr>
        <w:spacing w:after="120" w:line="288"/>
        <w:jc w:val="both"/>
      </w:pPr>
      <w:r>
        <w:rPr>
          <w:rFonts w:ascii="Times New Roman" w:cs="Times New Roman" w:eastAsia="Times New Roman" w:hAnsi="Times New Roman"/>
        </w:rPr>
        <w:t xml:space="preserve">For the external benchmark (RQ2) we use O*NET 31.0: occupation descriptions and core task statements for 923 occupations, and the items "Working with Computers" (work activity 4.A.3.b.1), "Computers and Electronics" (knowledge 2.C.3.a) and e-mail frequency (work context 4.C.1.a.2.h). O*NET-SOC 2019 codes are mapped to SOC 2010 with the O*NET taxonomy crosswalk and to ISCO-08 with the BLS crosswalk; ISCO-08 unit groups coincide with NCO-2015 families. Many-to-many links are weighted by US employment (BLS OEWS). The mapping covers 360 of 373 NCO families and 97.9% of NCO occupations.</w:t>
      </w:r>
    </w:p>
    <w:p>
      <w:pPr>
        <w:pStyle w:val="Heading1"/>
        <w:spacing w:after="120" w:before="280"/>
      </w:pPr>
      <w:r>
        <w:rPr>
          <w:rFonts w:ascii="Times New Roman" w:cs="Times New Roman" w:eastAsia="Times New Roman" w:hAnsi="Times New Roman"/>
        </w:rPr>
        <w:t xml:space="preserve">4. Constructing the Digital Task Intensity index</w:t>
      </w:r>
    </w:p>
    <w:p>
      <w:pPr>
        <w:pStyle w:val="Heading2"/>
        <w:spacing w:after="100" w:before="200"/>
      </w:pPr>
      <w:r>
        <w:rPr>
          <w:rFonts w:ascii="Times New Roman" w:cs="Times New Roman" w:eastAsia="Times New Roman" w:hAnsi="Times New Roman"/>
        </w:rPr>
        <w:t xml:space="preserve">4.1 Dimensions and rubric</w:t>
      </w:r>
    </w:p>
    <w:p>
      <w:pPr>
        <w:spacing w:after="120" w:line="288"/>
        <w:jc w:val="both"/>
      </w:pPr>
      <w:r>
        <w:rPr>
          <w:rFonts w:ascii="Times New Roman" w:cs="Times New Roman" w:eastAsia="Times New Roman" w:hAnsi="Times New Roman"/>
        </w:rPr>
        <w:t xml:space="preserve">Inspired by DigComp and related taxonomies, each occupation is scored on five dimensions: (1) basic digital operation; (2) digital information processing; (3) digital communication and collaboration; (4) advanced or specialised digital-tool use; and (5) digital problem solving and content creation. Each dimension has an explicit ordinal scale from 0 (none) to 4 (core: the digital activity is the main work), with written anchors and Indian occupational examples for every level (Appendix A). The same rubric and the same worked example are given to the LLM and to human coders.</w:t>
      </w:r>
    </w:p>
    <w:p>
      <w:pPr>
        <w:spacing w:after="120" w:line="288"/>
        <w:jc w:val="both"/>
      </w:pPr>
      <w:r>
        <w:rPr>
          <w:rFonts w:ascii="Times New Roman" w:cs="Times New Roman" w:eastAsia="Times New Roman" w:hAnsi="Times New Roman"/>
        </w:rPr>
        <w:t xml:space="preserve">Scores are grounded in the official text: the model scores the title and description only, quotes the words that support each non-zero score, and records its confidence. Two readings of "text only" were piloted: a </w:t>
      </w:r>
      <w:r>
        <w:rPr>
          <w:rFonts w:ascii="Times New Roman" w:cs="Times New Roman" w:eastAsia="Times New Roman" w:hAnsi="Times New Roman"/>
          <w:i/>
          <w:iCs/>
        </w:rPr>
        <w:t xml:space="preserve">strict</w:t>
      </w:r>
      <w:r>
        <w:rPr>
          <w:rFonts w:ascii="Times New Roman" w:cs="Times New Roman" w:eastAsia="Times New Roman" w:hAnsi="Times New Roman"/>
        </w:rPr>
        <w:t xml:space="preserve"> reading, in which only digital work the text names counts, and a </w:t>
      </w:r>
      <w:r>
        <w:rPr>
          <w:rFonts w:ascii="Times New Roman" w:cs="Times New Roman" w:eastAsia="Times New Roman" w:hAnsi="Times New Roman"/>
          <w:i/>
          <w:iCs/>
        </w:rPr>
        <w:t xml:space="preserve">described-task</w:t>
      </w:r>
      <w:r>
        <w:rPr>
          <w:rFonts w:ascii="Times New Roman" w:cs="Times New Roman" w:eastAsia="Times New Roman" w:hAnsi="Times New Roman"/>
        </w:rPr>
        <w:t xml:space="preserve"> reading, in which tasks the text describes that the typical worker in India performs with digital tools also count, still requiring a quote from the text. In a 50-occupation pilot (5 runs, both models), the described-task reading barely reduced the share of occupations scored zero on every dimension (48% against 50% for the primary model) while lowering agreement between the two models (weighted κ 0.69 against 0.83) and with the O*NET benchmark. The strict reading is therefore the main measure; the described-task reading is reported as a robustness check.</w:t>
      </w:r>
    </w:p>
    <w:p>
      <w:pPr>
        <w:pStyle w:val="Heading2"/>
        <w:spacing w:after="100" w:before="200"/>
      </w:pPr>
      <w:r>
        <w:rPr>
          <w:rFonts w:ascii="Times New Roman" w:cs="Times New Roman" w:eastAsia="Times New Roman" w:hAnsi="Times New Roman"/>
        </w:rPr>
        <w:t xml:space="preserve">4.2 LLM scoring</w:t>
      </w:r>
    </w:p>
    <w:p>
      <w:pPr>
        <w:spacing w:after="120" w:line="288"/>
        <w:jc w:val="both"/>
      </w:pPr>
      <w:r>
        <w:rPr>
          <w:rFonts w:ascii="Times New Roman" w:cs="Times New Roman" w:eastAsia="Times New Roman" w:hAnsi="Times New Roman"/>
        </w:rPr>
        <w:t xml:space="preserve">The rubric is rendered into a fixed prompt; the model returns a JSON object validated against a schema (scores 0–4, confidence 1–3, evidence, and the remaining coder-form items). Every quoted piece of evidence is checked against the description; quotes not found in the text are flagged. Each occupation is scored five times per model (temperature 0.7, seeds 0–4) so that stability is tested rather than imposed; the consensus score per dimension is the median across runs. Two open-weight model families are used: Qwen2.5-14B-Instruct (4-bit quantised) as the primary instrument and Llama-3.1-8B-Instruct (8-bit) as the second family, run locally on a 16 GB Quadro GP100 GPU (PARAM Shavak, Nirma University) through llama.cpp. In the pilot the primary model was the more stable (median intraclass correlation across runs 0.81 against 0.68) and better grounded (89% of non-zero scores supported by a quote found in the description, against 73%). Each output records a hash of the prompt, rubric and schema, so results from different instrument versions are never mixed.</w:t>
      </w:r>
    </w:p>
    <w:p>
      <w:pPr>
        <w:pStyle w:val="Heading2"/>
        <w:spacing w:after="100" w:before="200"/>
      </w:pPr>
      <w:r>
        <w:rPr>
          <w:rFonts w:ascii="Times New Roman" w:cs="Times New Roman" w:eastAsia="Times New Roman" w:hAnsi="Times New Roman"/>
        </w:rPr>
        <w:t xml:space="preserve">4.3 Aggregation</w:t>
      </w:r>
    </w:p>
    <w:p>
      <w:pPr>
        <w:spacing w:after="120" w:line="288"/>
        <w:jc w:val="both"/>
      </w:pPr>
      <w:r>
        <w:rPr>
          <w:rFonts w:ascii="Times New Roman" w:cs="Times New Roman" w:eastAsia="Times New Roman" w:hAnsi="Times New Roman"/>
        </w:rPr>
        <w:t xml:space="preserve">Following the abstract (eq. 1), dimension scores are standardised and aggregated with equal weights, then re-standardised:</w:t>
      </w:r>
    </w:p>
    <w:p>
      <w:pPr>
        <w:spacing w:after="160" w:before="120"/>
        <w:jc w:val="center"/>
      </w:pPr>
      <w:r>
        <w:rPr>
          <w:rFonts w:ascii="Cambria Math" w:cs="Cambria Math" w:eastAsia="Cambria Math" w:hAnsi="Cambria Math"/>
          <w:i/>
          <w:iCs/>
          <w:sz w:val="24"/>
          <w:szCs w:val="24"/>
        </w:rPr>
        <w:t xml:space="preserve">DTI</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 = Σ</w:t>
      </w:r>
      <w:r>
        <w:rPr>
          <w:rFonts w:ascii="Cambria Math" w:cs="Cambria Math" w:eastAsia="Cambria Math" w:hAnsi="Cambria Math"/>
          <w:i/>
          <w:iCs/>
          <w:sz w:val="24"/>
          <w:szCs w:val="24"/>
          <w:vertAlign w:val="subscript"/>
        </w:rPr>
        <w:t xml:space="preserve">k=1</w:t>
      </w:r>
      <w:r>
        <w:rPr>
          <w:rFonts w:ascii="Cambria Math" w:cs="Cambria Math" w:eastAsia="Cambria Math" w:hAnsi="Cambria Math"/>
          <w:i/>
          <w:iCs/>
          <w:sz w:val="24"/>
          <w:szCs w:val="24"/>
          <w:vertAlign w:val="superscript"/>
        </w:rPr>
        <w:t xml:space="preserve">5</w:t>
      </w:r>
      <w:r>
        <w:rPr>
          <w:rFonts w:ascii="Cambria Math" w:cs="Cambria Math" w:eastAsia="Cambria Math" w:hAnsi="Cambria Math"/>
          <w:i/>
          <w:iCs/>
          <w:sz w:val="24"/>
          <w:szCs w:val="24"/>
        </w:rPr>
        <w:t xml:space="preserve"> w</w:t>
      </w:r>
      <w:r>
        <w:rPr>
          <w:rFonts w:ascii="Cambria Math" w:cs="Cambria Math" w:eastAsia="Cambria Math" w:hAnsi="Cambria Math"/>
          <w:i/>
          <w:iCs/>
          <w:sz w:val="24"/>
          <w:szCs w:val="24"/>
          <w:vertAlign w:val="subscript"/>
        </w:rPr>
        <w:t xml:space="preserve">k</w:t>
      </w:r>
      <w:r>
        <w:rPr>
          <w:rFonts w:ascii="Cambria Math" w:cs="Cambria Math" w:eastAsia="Cambria Math" w:hAnsi="Cambria Math"/>
          <w:i/>
          <w:iCs/>
          <w:sz w:val="24"/>
          <w:szCs w:val="24"/>
        </w:rPr>
        <w:t xml:space="preserve">   D</w:t>
      </w:r>
      <w:r>
        <w:rPr>
          <w:rFonts w:ascii="Cambria Math" w:cs="Cambria Math" w:eastAsia="Cambria Math" w:hAnsi="Cambria Math"/>
          <w:i/>
          <w:iCs/>
          <w:sz w:val="24"/>
          <w:szCs w:val="24"/>
          <w:vertAlign w:val="subscript"/>
        </w:rPr>
        <w:t xml:space="preserve">jk</w:t>
      </w:r>
      <w:r>
        <w:rPr>
          <w:rFonts w:ascii="Cambria Math" w:cs="Cambria Math" w:eastAsia="Cambria Math" w:hAnsi="Cambria Math"/>
          <w:i/>
          <w:iCs/>
          <w:sz w:val="24"/>
          <w:szCs w:val="24"/>
        </w:rPr>
        <w:t xml:space="preserve">,       w</w:t>
      </w:r>
      <w:r>
        <w:rPr>
          <w:rFonts w:ascii="Cambria Math" w:cs="Cambria Math" w:eastAsia="Cambria Math" w:hAnsi="Cambria Math"/>
          <w:i/>
          <w:iCs/>
          <w:sz w:val="24"/>
          <w:szCs w:val="24"/>
          <w:vertAlign w:val="subscript"/>
        </w:rPr>
        <w:t xml:space="preserve">k</w:t>
      </w:r>
      <w:r>
        <w:rPr>
          <w:rFonts w:ascii="Cambria Math" w:cs="Cambria Math" w:eastAsia="Cambria Math" w:hAnsi="Cambria Math"/>
          <w:i/>
          <w:iCs/>
          <w:sz w:val="24"/>
          <w:szCs w:val="24"/>
        </w:rPr>
        <w:t xml:space="preserve"> = 1/5</w:t>
      </w:r>
    </w:p>
    <w:p>
      <w:pPr>
        <w:spacing w:after="120" w:line="288"/>
        <w:jc w:val="both"/>
      </w:pPr>
      <w:r>
        <w:rPr>
          <w:rFonts w:ascii="Times New Roman" w:cs="Times New Roman" w:eastAsia="Times New Roman" w:hAnsi="Times New Roman"/>
        </w:rPr>
        <w:t xml:space="preserve">where </w:t>
      </w:r>
      <w:r>
        <w:rPr>
          <w:rFonts w:ascii="Times New Roman" w:cs="Times New Roman" w:eastAsia="Times New Roman" w:hAnsi="Times New Roman"/>
          <w:i/>
          <w:iCs/>
        </w:rPr>
        <w:t xml:space="preserve">Dⱼₖ</w:t>
      </w:r>
      <w:r>
        <w:rPr>
          <w:rFonts w:ascii="Times New Roman" w:cs="Times New Roman" w:eastAsia="Times New Roman" w:hAnsi="Times New Roman"/>
        </w:rPr>
        <w:t xml:space="preserve"> is the standardised score of occupation </w:t>
      </w:r>
      <w:r>
        <w:rPr>
          <w:rFonts w:ascii="Times New Roman" w:cs="Times New Roman" w:eastAsia="Times New Roman" w:hAnsi="Times New Roman"/>
          <w:i/>
          <w:iCs/>
        </w:rPr>
        <w:t xml:space="preserve">j</w:t>
      </w:r>
      <w:r>
        <w:rPr>
          <w:rFonts w:ascii="Times New Roman" w:cs="Times New Roman" w:eastAsia="Times New Roman" w:hAnsi="Times New Roman"/>
        </w:rPr>
        <w:t xml:space="preserve"> on dimension </w:t>
      </w:r>
      <w:r>
        <w:rPr>
          <w:rFonts w:ascii="Times New Roman" w:cs="Times New Roman" w:eastAsia="Times New Roman" w:hAnsi="Times New Roman"/>
          <w:i/>
          <w:iCs/>
        </w:rPr>
        <w:t xml:space="preserve">k</w:t>
      </w:r>
      <w:r>
        <w:rPr>
          <w:rFonts w:ascii="Times New Roman" w:cs="Times New Roman" w:eastAsia="Times New Roman" w:hAnsi="Times New Roman"/>
        </w:rPr>
        <w:t xml:space="preserve">. Alternative weights (principal components; weights implied by the holistic overall score) are robustness checks. As in Vashisht and Dubey (2019), the index aggregates several task items rather than relying on one.</w:t>
      </w:r>
    </w:p>
    <w:p>
      <w:pPr>
        <w:pStyle w:val="Heading2"/>
        <w:spacing w:after="100" w:before="200"/>
      </w:pPr>
      <w:r>
        <w:rPr>
          <w:rFonts w:ascii="Times New Roman" w:cs="Times New Roman" w:eastAsia="Times New Roman" w:hAnsi="Times New Roman"/>
        </w:rPr>
        <w:t xml:space="preserve">4.4 Reliability and validation (RQ1)</w:t>
      </w:r>
    </w:p>
    <w:p>
      <w:pPr>
        <w:pStyle w:val="ListParagraph"/>
        <w:numPr>
          <w:ilvl w:val="0"/>
          <w:numId w:val="2"/>
        </w:numPr>
        <w:spacing w:after="60" w:line="276"/>
      </w:pPr>
      <w:r>
        <w:rPr>
          <w:rFonts w:ascii="Times New Roman" w:cs="Times New Roman" w:eastAsia="Times New Roman" w:hAnsi="Times New Roman"/>
          <w:b/>
          <w:bCs/>
        </w:rPr>
        <w:t xml:space="preserve">Intra-model stability:</w:t>
      </w:r>
      <w:r>
        <w:rPr>
          <w:rFonts w:ascii="Times New Roman" w:cs="Times New Roman" w:eastAsia="Times New Roman" w:hAnsi="Times New Roman"/>
        </w:rPr>
        <w:t xml:space="preserve"> ICC(2,1) and Krippendorff's ordinal α across the five runs; occupations with run-to-run SD above 0.5 on any dimension are reviewed manually.</w:t>
      </w:r>
    </w:p>
    <w:p>
      <w:pPr>
        <w:pStyle w:val="ListParagraph"/>
        <w:numPr>
          <w:ilvl w:val="0"/>
          <w:numId w:val="2"/>
        </w:numPr>
        <w:spacing w:after="60" w:line="276"/>
      </w:pPr>
      <w:r>
        <w:rPr>
          <w:rFonts w:ascii="Times New Roman" w:cs="Times New Roman" w:eastAsia="Times New Roman" w:hAnsi="Times New Roman"/>
          <w:b/>
          <w:bCs/>
        </w:rPr>
        <w:t xml:space="preserve">Cross-model agreement:</w:t>
      </w:r>
      <w:r>
        <w:rPr>
          <w:rFonts w:ascii="Times New Roman" w:cs="Times New Roman" w:eastAsia="Times New Roman" w:hAnsi="Times New Roman"/>
        </w:rPr>
        <w:t xml:space="preserve"> quadratic-weighted κ, Spearman ρ and α between the two model families.</w:t>
      </w:r>
    </w:p>
    <w:p>
      <w:pPr>
        <w:pStyle w:val="ListParagraph"/>
        <w:numPr>
          <w:ilvl w:val="0"/>
          <w:numId w:val="2"/>
        </w:numPr>
        <w:spacing w:after="60" w:line="276"/>
      </w:pPr>
      <w:r>
        <w:rPr>
          <w:rFonts w:ascii="Times New Roman" w:cs="Times New Roman" w:eastAsia="Times New Roman" w:hAnsi="Times New Roman"/>
          <w:b/>
          <w:bCs/>
        </w:rPr>
        <w:t xml:space="preserve">Human validation:</w:t>
      </w:r>
      <w:r>
        <w:rPr>
          <w:rFonts w:ascii="Times New Roman" w:cs="Times New Roman" w:eastAsia="Times New Roman" w:hAnsi="Times New Roman"/>
        </w:rPr>
        <w:t xml:space="preserve"> three coders independently code a sample of 200 occupations with the same rubric and form questions as the LLM, blind to the LLM scores and to each other. The sample is stratified by occupational division and by whether the description names any digital term; occupations that do (about 6% of the corpus) are oversampled (70 of 200) so that the scores vary, and the 50 pilot occupations used to develop the prompt are excluded. Agreement statistics are reported unweighted and weighted by inverse inclusion probabilities. Agreement between each coder and the LLM is compared with agreement between coders (quadratic-weighted κ, Krippendorff's α); the LLM performs at human level if adding it as a rater does not lower α. </w:t>
      </w:r>
      <w:r>
        <w:rPr>
          <w:rFonts w:ascii="Times New Roman" w:cs="Times New Roman" w:eastAsia="Times New Roman" w:hAnsi="Times New Roman"/>
          <w:b/>
          <w:bCs/>
          <w:highlight w:val="yellow"/>
        </w:rPr>
        <w:t xml:space="preserve">[PENDING-HUMAN]</w:t>
      </w:r>
    </w:p>
    <w:p>
      <w:pPr>
        <w:pStyle w:val="ListParagraph"/>
        <w:numPr>
          <w:ilvl w:val="0"/>
          <w:numId w:val="2"/>
        </w:numPr>
        <w:spacing w:after="60" w:line="276"/>
      </w:pPr>
      <w:r>
        <w:rPr>
          <w:rFonts w:ascii="Times New Roman" w:cs="Times New Roman" w:eastAsia="Times New Roman" w:hAnsi="Times New Roman"/>
          <w:b/>
          <w:bCs/>
        </w:rPr>
        <w:t xml:space="preserve">Grounding:</w:t>
      </w:r>
      <w:r>
        <w:rPr>
          <w:rFonts w:ascii="Times New Roman" w:cs="Times New Roman" w:eastAsia="Times New Roman" w:hAnsi="Times New Roman"/>
        </w:rPr>
        <w:t xml:space="preserve"> the share of non-zero scores whose evidence quote does not appear in the description.</w:t>
      </w:r>
    </w:p>
    <w:p>
      <w:pPr>
        <w:pStyle w:val="Heading2"/>
        <w:spacing w:after="100" w:before="200"/>
      </w:pPr>
      <w:r>
        <w:rPr>
          <w:rFonts w:ascii="Times New Roman" w:cs="Times New Roman" w:eastAsia="Times New Roman" w:hAnsi="Times New Roman"/>
        </w:rPr>
        <w:t xml:space="preserve">4.5 From occupations to PLFS workers</w:t>
      </w:r>
    </w:p>
    <w:p>
      <w:pPr>
        <w:spacing w:after="120" w:line="288"/>
        <w:jc w:val="both"/>
      </w:pPr>
      <w:r>
        <w:rPr>
          <w:rFonts w:ascii="Times New Roman" w:cs="Times New Roman" w:eastAsia="Times New Roman" w:hAnsi="Times New Roman"/>
        </w:rPr>
        <w:t xml:space="preserve">Eight-digit scores are averaged to NCO-2015 families and three-digit groups (no employment counts exist below three digits, so occupations within a group are weighted equally; medians as robustness). For PLFS rounds coded in NCO-2004, each NCO-2015 occupation is linked to its NCO-2004 concordance code from NCO-2015 Volume I (2,657 occupations); occupations new in 2015 take the most common code of their siblings in the same family (759) or group (32). A robustness check keeps only NCO-2004 groups with at least 75% direct links. 98.8–99.8% of employed PLFS workers in each round receive a DTI; the unmatched are mainly armed forces and a few groups without Volume II descriptions.</w:t>
      </w:r>
    </w:p>
    <w:p>
      <w:pPr>
        <w:pStyle w:val="Heading2"/>
        <w:spacing w:after="100" w:before="200"/>
      </w:pPr>
      <w:r>
        <w:rPr>
          <w:rFonts w:ascii="Times New Roman" w:cs="Times New Roman" w:eastAsia="Times New Roman" w:hAnsi="Times New Roman"/>
        </w:rPr>
        <w:t xml:space="preserve">4.6 India–US comparison (RQ2)</w:t>
      </w:r>
    </w:p>
    <w:p>
      <w:pPr>
        <w:spacing w:after="120" w:line="288"/>
        <w:jc w:val="both"/>
      </w:pPr>
      <w:r>
        <w:rPr>
          <w:rFonts w:ascii="Times New Roman" w:cs="Times New Roman" w:eastAsia="Times New Roman" w:hAnsi="Times New Roman"/>
        </w:rPr>
        <w:t xml:space="preserve">The O*NET benchmark is constructed in two ways. The </w:t>
      </w:r>
      <w:r>
        <w:rPr>
          <w:rFonts w:ascii="Times New Roman" w:cs="Times New Roman" w:eastAsia="Times New Roman" w:hAnsi="Times New Roman"/>
          <w:i/>
          <w:iCs/>
        </w:rPr>
        <w:t xml:space="preserve">same-instrument</w:t>
      </w:r>
      <w:r>
        <w:rPr>
          <w:rFonts w:ascii="Times New Roman" w:cs="Times New Roman" w:eastAsia="Times New Roman" w:hAnsi="Times New Roman"/>
        </w:rPr>
        <w:t xml:space="preserve"> version scores O*NET occupation descriptions and core tasks with the identical prompt, so differences reflect the occupational texts rather than the method. The </w:t>
      </w:r>
      <w:r>
        <w:rPr>
          <w:rFonts w:ascii="Times New Roman" w:cs="Times New Roman" w:eastAsia="Times New Roman" w:hAnsi="Times New Roman"/>
          <w:i/>
          <w:iCs/>
        </w:rPr>
        <w:t xml:space="preserve">conventional</w:t>
      </w:r>
      <w:r>
        <w:rPr>
          <w:rFonts w:ascii="Times New Roman" w:cs="Times New Roman" w:eastAsia="Times New Roman" w:hAnsi="Times New Roman"/>
        </w:rPr>
        <w:t xml:space="preserve"> version uses the O*NET computer items (Muro et al., 2017) and the share of core tasks with digital keywords (Stöllinger and Guarascio, 2025). For each NCO family </w:t>
      </w:r>
      <w:r>
        <w:rPr>
          <w:rFonts w:ascii="Times New Roman" w:cs="Times New Roman" w:eastAsia="Times New Roman" w:hAnsi="Times New Roman"/>
          <w:i/>
          <w:iCs/>
        </w:rPr>
        <w:t xml:space="preserve">j</w:t>
      </w:r>
      <w:r>
        <w:rPr>
          <w:rFonts w:ascii="Times New Roman" w:cs="Times New Roman" w:eastAsia="Times New Roman" w:hAnsi="Times New Roman"/>
        </w:rPr>
        <w:t xml:space="preserve">:</w:t>
      </w:r>
    </w:p>
    <w:p>
      <w:pPr>
        <w:spacing w:after="160" w:before="120"/>
        <w:jc w:val="center"/>
      </w:pPr>
      <w:r>
        <w:rPr>
          <w:rFonts w:ascii="Cambria Math" w:cs="Cambria Math" w:eastAsia="Cambria Math" w:hAnsi="Cambria Math"/>
          <w:i/>
          <w:iCs/>
          <w:sz w:val="24"/>
          <w:szCs w:val="24"/>
        </w:rPr>
        <w:t xml:space="preserve">DigitalGap</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 = DTI</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vertAlign w:val="superscript"/>
        </w:rPr>
        <w:t xml:space="preserve">O*NET</w:t>
      </w:r>
      <w:r>
        <w:rPr>
          <w:rFonts w:ascii="Cambria Math" w:cs="Cambria Math" w:eastAsia="Cambria Math" w:hAnsi="Cambria Math"/>
          <w:i/>
          <w:iCs/>
          <w:sz w:val="24"/>
          <w:szCs w:val="24"/>
        </w:rPr>
        <w:t xml:space="preserve"> - DTI</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vertAlign w:val="superscript"/>
        </w:rPr>
        <w:t xml:space="preserve">NCO-LLM</w:t>
      </w:r>
    </w:p>
    <w:p>
      <w:pPr>
        <w:spacing w:after="120" w:line="288"/>
        <w:jc w:val="both"/>
      </w:pPr>
      <w:r>
        <w:rPr>
          <w:rFonts w:ascii="Times New Roman" w:cs="Times New Roman" w:eastAsia="Times New Roman" w:hAnsi="Times New Roman"/>
        </w:rPr>
        <w:t xml:space="preserve">computed on the common 0–4 scale for the same-instrument version and as percentile-rank differences otherwise. Systematic positive or negative gaps by occupational division or skill level indicate where transferring US characteristics overstates or understates digital intensity implied by Indian descriptions.</w:t>
      </w:r>
    </w:p>
    <w:p>
      <w:pPr>
        <w:pStyle w:val="Heading1"/>
        <w:spacing w:after="120" w:before="280"/>
      </w:pPr>
      <w:r>
        <w:rPr>
          <w:rFonts w:ascii="Times New Roman" w:cs="Times New Roman" w:eastAsia="Times New Roman" w:hAnsi="Times New Roman"/>
        </w:rPr>
        <w:t xml:space="preserve">5. Empirical strategy</w:t>
      </w:r>
    </w:p>
    <w:p>
      <w:pPr>
        <w:pStyle w:val="Heading2"/>
        <w:spacing w:after="100" w:before="200"/>
      </w:pPr>
      <w:r>
        <w:rPr>
          <w:rFonts w:ascii="Times New Roman" w:cs="Times New Roman" w:eastAsia="Times New Roman" w:hAnsi="Times New Roman"/>
        </w:rPr>
        <w:t xml:space="preserve">5.1 Conditional digital occupational premium (RQ3)</w:t>
      </w:r>
    </w:p>
    <w:p>
      <w:pPr>
        <w:spacing w:after="160" w:before="120"/>
        <w:jc w:val="center"/>
      </w:pPr>
      <w:r>
        <w:rPr>
          <w:rFonts w:ascii="Cambria Math" w:cs="Cambria Math" w:eastAsia="Cambria Math" w:hAnsi="Cambria Math"/>
          <w:i/>
          <w:iCs/>
          <w:sz w:val="24"/>
          <w:szCs w:val="24"/>
        </w:rPr>
        <w:t xml:space="preserve">ln  Wage</w:t>
      </w:r>
      <w:r>
        <w:rPr>
          <w:rFonts w:ascii="Cambria Math" w:cs="Cambria Math" w:eastAsia="Cambria Math" w:hAnsi="Cambria Math"/>
          <w:i/>
          <w:iCs/>
          <w:sz w:val="24"/>
          <w:szCs w:val="24"/>
          <w:vertAlign w:val="subscript"/>
        </w:rPr>
        <w:t xml:space="preserve">i</w:t>
      </w:r>
      <w:r>
        <w:rPr>
          <w:rFonts w:ascii="Cambria Math" w:cs="Cambria Math" w:eastAsia="Cambria Math" w:hAnsi="Cambria Math"/>
          <w:i/>
          <w:iCs/>
          <w:sz w:val="24"/>
          <w:szCs w:val="24"/>
        </w:rPr>
        <w:t xml:space="preserve"> = α + β   DTI</w:t>
      </w:r>
      <w:r>
        <w:rPr>
          <w:rFonts w:ascii="Cambria Math" w:cs="Cambria Math" w:eastAsia="Cambria Math" w:hAnsi="Cambria Math"/>
          <w:i/>
          <w:iCs/>
          <w:sz w:val="24"/>
          <w:szCs w:val="24"/>
          <w:vertAlign w:val="subscript"/>
        </w:rPr>
        <w:t xml:space="preserve">j(i)</w:t>
      </w:r>
      <w:r>
        <w:rPr>
          <w:rFonts w:ascii="Cambria Math" w:cs="Cambria Math" w:eastAsia="Cambria Math" w:hAnsi="Cambria Math"/>
          <w:i/>
          <w:iCs/>
          <w:sz w:val="24"/>
          <w:szCs w:val="24"/>
        </w:rPr>
        <w:t xml:space="preserve"> + γ X</w:t>
      </w:r>
      <w:r>
        <w:rPr>
          <w:rFonts w:ascii="Cambria Math" w:cs="Cambria Math" w:eastAsia="Cambria Math" w:hAnsi="Cambria Math"/>
          <w:i/>
          <w:iCs/>
          <w:sz w:val="24"/>
          <w:szCs w:val="24"/>
          <w:vertAlign w:val="subscript"/>
        </w:rPr>
        <w:t xml:space="preserve">i</w:t>
      </w:r>
      <w:r>
        <w:rPr>
          <w:rFonts w:ascii="Cambria Math" w:cs="Cambria Math" w:eastAsia="Cambria Math" w:hAnsi="Cambria Math"/>
          <w:i/>
          <w:iCs/>
          <w:sz w:val="24"/>
          <w:szCs w:val="24"/>
        </w:rPr>
        <w:t xml:space="preserve"> + δ</w:t>
      </w:r>
      <w:r>
        <w:rPr>
          <w:rFonts w:ascii="Cambria Math" w:cs="Cambria Math" w:eastAsia="Cambria Math" w:hAnsi="Cambria Math"/>
          <w:i/>
          <w:iCs/>
          <w:sz w:val="24"/>
          <w:szCs w:val="24"/>
          <w:vertAlign w:val="subscript"/>
        </w:rPr>
        <w:t xml:space="preserve">s</w:t>
      </w:r>
      <w:r>
        <w:rPr>
          <w:rFonts w:ascii="Cambria Math" w:cs="Cambria Math" w:eastAsia="Cambria Math" w:hAnsi="Cambria Math"/>
          <w:i/>
          <w:iCs/>
          <w:sz w:val="24"/>
          <w:szCs w:val="24"/>
        </w:rPr>
        <w:t xml:space="preserve"> + λ</w:t>
      </w:r>
      <w:r>
        <w:rPr>
          <w:rFonts w:ascii="Cambria Math" w:cs="Cambria Math" w:eastAsia="Cambria Math" w:hAnsi="Cambria Math"/>
          <w:i/>
          <w:iCs/>
          <w:sz w:val="24"/>
          <w:szCs w:val="24"/>
          <w:vertAlign w:val="subscript"/>
        </w:rPr>
        <w:t xml:space="preserve">r</w:t>
      </w:r>
      <w:r>
        <w:rPr>
          <w:rFonts w:ascii="Cambria Math" w:cs="Cambria Math" w:eastAsia="Cambria Math" w:hAnsi="Cambria Math"/>
          <w:i/>
          <w:iCs/>
          <w:sz w:val="24"/>
          <w:szCs w:val="24"/>
        </w:rPr>
        <w:t xml:space="preserve"> + τ</w:t>
      </w:r>
      <w:r>
        <w:rPr>
          <w:rFonts w:ascii="Cambria Math" w:cs="Cambria Math" w:eastAsia="Cambria Math" w:hAnsi="Cambria Math"/>
          <w:i/>
          <w:iCs/>
          <w:sz w:val="24"/>
          <w:szCs w:val="24"/>
          <w:vertAlign w:val="subscript"/>
        </w:rPr>
        <w:t xml:space="preserve">t</w:t>
      </w:r>
      <w:r>
        <w:rPr>
          <w:rFonts w:ascii="Cambria Math" w:cs="Cambria Math" w:eastAsia="Cambria Math" w:hAnsi="Cambria Math"/>
          <w:i/>
          <w:iCs/>
          <w:sz w:val="24"/>
          <w:szCs w:val="24"/>
        </w:rPr>
        <w:t xml:space="preserve"> + ε</w:t>
      </w:r>
      <w:r>
        <w:rPr>
          <w:rFonts w:ascii="Cambria Math" w:cs="Cambria Math" w:eastAsia="Cambria Math" w:hAnsi="Cambria Math"/>
          <w:i/>
          <w:iCs/>
          <w:sz w:val="24"/>
          <w:szCs w:val="24"/>
          <w:vertAlign w:val="subscript"/>
        </w:rPr>
        <w:t xml:space="preserve">i</w:t>
      </w:r>
    </w:p>
    <w:p>
      <w:pPr>
        <w:spacing w:after="120" w:line="288"/>
        <w:jc w:val="both"/>
      </w:pPr>
      <w:r>
        <w:rPr>
          <w:rFonts w:ascii="Times New Roman" w:cs="Times New Roman" w:eastAsia="Times New Roman" w:hAnsi="Times New Roman"/>
          <w:i/>
          <w:iCs/>
        </w:rPr>
        <w:t xml:space="preserve">Xᵢ</w:t>
      </w:r>
      <w:r>
        <w:rPr>
          <w:rFonts w:ascii="Times New Roman" w:cs="Times New Roman" w:eastAsia="Times New Roman" w:hAnsi="Times New Roman"/>
        </w:rPr>
        <w:t xml:space="preserve"> contains age, age², gender, marital status, rural residence, education, social group and religion; δ, λ and τ are industry (NIC two-digit), state and year-quarter fixed effects. DTI is standardised across workers in the estimation sample, so β is the log-wage difference associated with a one-standard-deviation higher occupational DTI. The specification ladder adds controls and fixed effects step by step (M1–M4); the preferred specification (M4) adds occupational division fixed effects, so β compares occupations within the same broad skill group. M5 replaces the index with its five dimensions. Estimates are weighted by PLFS weights; standard errors are clustered by occupation, the level at which DTI varies, with a wild cluster bootstrap as a check.</w:t>
      </w:r>
    </w:p>
    <w:p>
      <w:pPr>
        <w:spacing w:after="120" w:line="288"/>
        <w:jc w:val="both"/>
      </w:pPr>
      <w:r>
        <w:rPr>
          <w:rFonts w:ascii="Times New Roman" w:cs="Times New Roman" w:eastAsia="Times New Roman" w:hAnsi="Times New Roman"/>
        </w:rPr>
        <w:t xml:space="preserve">β is interpreted as a </w:t>
      </w:r>
      <w:r>
        <w:rPr>
          <w:rFonts w:ascii="Times New Roman" w:cs="Times New Roman" w:eastAsia="Times New Roman" w:hAnsi="Times New Roman"/>
          <w:b/>
          <w:bCs/>
        </w:rPr>
        <w:t xml:space="preserve">conditional digital occupational wage premium</w:t>
      </w:r>
      <w:r>
        <w:rPr>
          <w:rFonts w:ascii="Times New Roman" w:cs="Times New Roman" w:eastAsia="Times New Roman" w:hAnsi="Times New Roman"/>
        </w:rPr>
        <w:t xml:space="preserve">, not as the causal return to digital skills: workers are not randomly assigned to occupations, and occupational sorting may depend on ability, family background and other unobservables. We report Oster (2019) bounds to gauge how strong selection on unobservables would need to be to explain the estimate away.</w:t>
      </w:r>
    </w:p>
    <w:p>
      <w:pPr>
        <w:pStyle w:val="Heading2"/>
        <w:spacing w:after="100" w:before="200"/>
      </w:pPr>
      <w:r>
        <w:rPr>
          <w:rFonts w:ascii="Times New Roman" w:cs="Times New Roman" w:eastAsia="Times New Roman" w:hAnsi="Times New Roman"/>
        </w:rPr>
        <w:t xml:space="preserve">5.2 Robustness</w:t>
      </w:r>
    </w:p>
    <w:p>
      <w:pPr>
        <w:spacing w:after="120" w:line="288"/>
        <w:jc w:val="both"/>
      </w:pPr>
      <w:r>
        <w:rPr>
          <w:rFonts w:ascii="Times New Roman" w:cs="Times New Roman" w:eastAsia="Times New Roman" w:hAnsi="Times New Roman"/>
        </w:rPr>
        <w:t xml:space="preserve">Unweighted estimates; monthly earnings; regular and casual workers separately; NCO-2015 and NCO-2004 rounds separately; directly linked NCO-2004 groups only; DTI quintiles; the self-employed; Heckman selection into wage employment (exclusion restrictions: children under six in the household, household size, household head), for all workers and separately by gender; and the alternative DTI constructions of Section 4.</w:t>
      </w:r>
    </w:p>
    <w:p>
      <w:pPr>
        <w:pStyle w:val="Heading2"/>
        <w:spacing w:after="100" w:before="200"/>
      </w:pPr>
      <w:r>
        <w:rPr>
          <w:rFonts w:ascii="Times New Roman" w:cs="Times New Roman" w:eastAsia="Times New Roman" w:hAnsi="Times New Roman"/>
        </w:rPr>
        <w:t xml:space="preserve">5.3 Distribution and heterogeneity (RQ4)</w:t>
      </w:r>
    </w:p>
    <w:p>
      <w:pPr>
        <w:spacing w:after="120" w:line="288"/>
        <w:jc w:val="both"/>
      </w:pPr>
      <w:r>
        <w:rPr>
          <w:rFonts w:ascii="Times New Roman" w:cs="Times New Roman" w:eastAsia="Times New Roman" w:hAnsi="Times New Roman"/>
        </w:rPr>
        <w:t xml:space="preserve">Unconditional quantile (RIF) regressions (Firpo, Fortin and Lemieux, 2009) and conditional quantile regressions trace the premium across the wage distribution. An Oaxaca–Blinder decomposition with pooled coefficients shows how much of the gender wage gap runs through occupational DTI. Heterogeneity is estimated, first, with DTI × group interactions for gender, rural residence, education band, age band, employment type and (for regular workers) formality, both with the preferred fixed effects and with full three-digit occupation fixed effects, which identify the interactions from within-occupation differences between groups; and second, with double/debiased machine learning (Chernozhukov et al., 2018): a partially linear model gives the average partial effect, the best linear projection of the effect on pre-specified covariates, and group average effects. A causal forest (Athey, Tibshirani and Wager, 2019) is estimated as a supplement. Heterogeneity dimensions are fixed in advance.</w:t>
      </w:r>
    </w:p>
    <w:p>
      <w:pPr>
        <w:pStyle w:val="Heading1"/>
        <w:spacing w:after="120" w:before="280"/>
      </w:pPr>
      <w:r>
        <w:rPr>
          <w:rFonts w:ascii="Times New Roman" w:cs="Times New Roman" w:eastAsia="Times New Roman" w:hAnsi="Times New Roman"/>
        </w:rPr>
        <w:t xml:space="preserve">6. Results</w:t>
      </w:r>
    </w:p>
    <w:p>
      <w:pPr>
        <w:pStyle w:val="Heading2"/>
        <w:spacing w:after="100" w:before="200"/>
      </w:pPr>
      <w:r>
        <w:rPr>
          <w:rFonts w:ascii="Times New Roman" w:cs="Times New Roman" w:eastAsia="Times New Roman" w:hAnsi="Times New Roman"/>
        </w:rPr>
        <w:t xml:space="preserve">6.1 The DTI index and its reliability (RQ1)</w:t>
      </w:r>
    </w:p>
    <w:p>
      <w:pPr>
        <w:spacing w:after="120" w:line="288"/>
        <w:jc w:val="both"/>
      </w:pPr>
      <w:r>
        <w:rPr>
          <w:rFonts w:ascii="Times New Roman" w:cs="Times New Roman" w:eastAsia="Times New Roman" w:hAnsi="Times New Roman"/>
          <w:i/>
          <w:iCs/>
        </w:rPr>
        <w:t xml:space="preserve">Pilot evidence (50 occupations stratified by division, five runs each, two models, two readings of "text only").</w:t>
      </w:r>
      <w:r>
        <w:rPr>
          <w:rFonts w:ascii="Times New Roman" w:cs="Times New Roman" w:eastAsia="Times New Roman" w:hAnsi="Times New Roman"/>
        </w:rPr>
        <w:t xml:space="preserve"> Source: </w:t>
      </w:r>
      <w:r>
        <w:rPr>
          <w:rFonts w:ascii="Consolas" w:cs="Consolas" w:eastAsia="Consolas" w:hAnsi="Consolas"/>
          <w:sz w:val="20"/>
          <w:szCs w:val="20"/>
        </w:rPr>
        <w:t xml:space="preserve">reports/pilot_comparison.csv</w:t>
      </w:r>
      <w:r>
        <w:rPr>
          <w:rFonts w:ascii="Times New Roman" w:cs="Times New Roman" w:eastAsia="Times New Roman" w:hAnsi="Times New Roman"/>
        </w:rPr>
        <w:t xml:space="preserve">, </w:t>
      </w:r>
      <w:r>
        <w:rPr>
          <w:rFonts w:ascii="Consolas" w:cs="Consolas" w:eastAsia="Consolas" w:hAnsi="Consolas"/>
          <w:sz w:val="20"/>
          <w:szCs w:val="20"/>
        </w:rPr>
        <w:t xml:space="preserve">reports/pilot_agreement.csv</w:t>
      </w:r>
      <w:r>
        <w:rPr>
          <w:rFonts w:ascii="Times New Roman" w:cs="Times New Roman" w:eastAsia="Times New Roman" w:hAnsi="Times New Roman"/>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8"/>
        <w:gridCol w:w="1094"/>
        <w:gridCol w:w="1251"/>
        <w:gridCol w:w="1329"/>
        <w:gridCol w:w="1251"/>
        <w:gridCol w:w="1485"/>
        <w:gridCol w:w="1094"/>
        <w:gridCol w:w="864"/>
      </w:tblGrid>
      <w:tr>
        <w:trPr>
          <w:tblHeader/>
        </w:trPr>
        <w:tc>
          <w:tcPr>
            <w:tcW w:type="dxa" w:w="938"/>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Model</w:t>
            </w:r>
          </w:p>
        </w:tc>
        <w:tc>
          <w:tcPr>
            <w:tcW w:type="dxa" w:w="1094"/>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Rubric</w:t>
            </w:r>
          </w:p>
        </w:tc>
        <w:tc>
          <w:tcPr>
            <w:tcW w:type="dxa" w:w="1251"/>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Occupations scored 0 on all dimensions</w:t>
            </w:r>
          </w:p>
        </w:tc>
        <w:tc>
          <w:tcPr>
            <w:tcW w:type="dxa" w:w="1329"/>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Run stability, ICC(2,1) (median dimension)</w:t>
            </w:r>
          </w:p>
        </w:tc>
        <w:tc>
          <w:tcPr>
            <w:tcW w:type="dxa" w:w="1251"/>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Run stability, Krippendorff α (median)</w:t>
            </w:r>
          </w:p>
        </w:tc>
        <w:tc>
          <w:tcPr>
            <w:tcW w:type="dxa" w:w="1485"/>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Non-zero scores with a quote found in the text</w:t>
            </w:r>
          </w:p>
        </w:tc>
        <w:tc>
          <w:tcPr>
            <w:tcW w:type="dxa" w:w="1094"/>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Spearman with holistic score (Q9)</w:t>
            </w:r>
          </w:p>
        </w:tc>
        <w:tc>
          <w:tcPr>
            <w:tcW w:type="dxa" w:w="864"/>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Spearman with O*NET (Muro)</w:t>
            </w:r>
          </w:p>
        </w:tc>
      </w:tr>
      <w:tr>
        <w:trPr>
          <w:tblHeader w:val="off"/>
        </w:trPr>
        <w:tc>
          <w:tcPr>
            <w:tcW w:type="dxa" w:w="93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Qwen2.5-14B</w:t>
            </w:r>
          </w:p>
        </w:tc>
        <w:tc>
          <w:tcPr>
            <w:tcW w:type="dxa" w:w="10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strict (main)</w:t>
            </w:r>
          </w:p>
        </w:tc>
        <w:tc>
          <w:tcPr>
            <w:tcW w:type="dxa" w:w="12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50%</w:t>
            </w:r>
          </w:p>
        </w:tc>
        <w:tc>
          <w:tcPr>
            <w:tcW w:type="dxa" w:w="13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0.81</w:t>
            </w:r>
          </w:p>
        </w:tc>
        <w:tc>
          <w:tcPr>
            <w:tcW w:type="dxa" w:w="12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0.77</w:t>
            </w:r>
          </w:p>
        </w:tc>
        <w:tc>
          <w:tcPr>
            <w:tcW w:type="dxa" w:w="14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89%</w:t>
            </w:r>
          </w:p>
        </w:tc>
        <w:tc>
          <w:tcPr>
            <w:tcW w:type="dxa" w:w="10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0.86</w:t>
            </w:r>
          </w:p>
        </w:tc>
        <w:tc>
          <w:tcPr>
            <w:tcW w:type="dxa" w:w="86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0.59</w:t>
            </w:r>
          </w:p>
        </w:tc>
      </w:tr>
      <w:tr>
        <w:trPr>
          <w:tblHeader w:val="off"/>
        </w:trPr>
        <w:tc>
          <w:tcPr>
            <w:tcW w:type="dxa" w:w="93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Qwen2.5-14B</w:t>
            </w:r>
          </w:p>
        </w:tc>
        <w:tc>
          <w:tcPr>
            <w:tcW w:type="dxa" w:w="10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described-task</w:t>
            </w:r>
          </w:p>
        </w:tc>
        <w:tc>
          <w:tcPr>
            <w:tcW w:type="dxa" w:w="12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48%</w:t>
            </w:r>
          </w:p>
        </w:tc>
        <w:tc>
          <w:tcPr>
            <w:tcW w:type="dxa" w:w="13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0.78</w:t>
            </w:r>
          </w:p>
        </w:tc>
        <w:tc>
          <w:tcPr>
            <w:tcW w:type="dxa" w:w="12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0.81</w:t>
            </w:r>
          </w:p>
        </w:tc>
        <w:tc>
          <w:tcPr>
            <w:tcW w:type="dxa" w:w="14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89%</w:t>
            </w:r>
          </w:p>
        </w:tc>
        <w:tc>
          <w:tcPr>
            <w:tcW w:type="dxa" w:w="10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0.87</w:t>
            </w:r>
          </w:p>
        </w:tc>
        <w:tc>
          <w:tcPr>
            <w:tcW w:type="dxa" w:w="86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0.46</w:t>
            </w:r>
          </w:p>
        </w:tc>
      </w:tr>
      <w:tr>
        <w:trPr>
          <w:tblHeader w:val="off"/>
        </w:trPr>
        <w:tc>
          <w:tcPr>
            <w:tcW w:type="dxa" w:w="93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Llama-3.1-8B</w:t>
            </w:r>
          </w:p>
        </w:tc>
        <w:tc>
          <w:tcPr>
            <w:tcW w:type="dxa" w:w="10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strict</w:t>
            </w:r>
          </w:p>
        </w:tc>
        <w:tc>
          <w:tcPr>
            <w:tcW w:type="dxa" w:w="12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62%</w:t>
            </w:r>
          </w:p>
        </w:tc>
        <w:tc>
          <w:tcPr>
            <w:tcW w:type="dxa" w:w="13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0.68</w:t>
            </w:r>
          </w:p>
        </w:tc>
        <w:tc>
          <w:tcPr>
            <w:tcW w:type="dxa" w:w="12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0.72</w:t>
            </w:r>
          </w:p>
        </w:tc>
        <w:tc>
          <w:tcPr>
            <w:tcW w:type="dxa" w:w="14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73%</w:t>
            </w:r>
          </w:p>
        </w:tc>
        <w:tc>
          <w:tcPr>
            <w:tcW w:type="dxa" w:w="10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0.84</w:t>
            </w:r>
          </w:p>
        </w:tc>
        <w:tc>
          <w:tcPr>
            <w:tcW w:type="dxa" w:w="86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0.42</w:t>
            </w:r>
          </w:p>
        </w:tc>
      </w:tr>
      <w:tr>
        <w:trPr>
          <w:tblHeader w:val="off"/>
        </w:trPr>
        <w:tc>
          <w:tcPr>
            <w:tcW w:type="dxa" w:w="93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Llama-3.1-8B</w:t>
            </w:r>
          </w:p>
        </w:tc>
        <w:tc>
          <w:tcPr>
            <w:tcW w:type="dxa" w:w="10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described-task</w:t>
            </w:r>
          </w:p>
        </w:tc>
        <w:tc>
          <w:tcPr>
            <w:tcW w:type="dxa" w:w="12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64%</w:t>
            </w:r>
          </w:p>
        </w:tc>
        <w:tc>
          <w:tcPr>
            <w:tcW w:type="dxa" w:w="13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0.63</w:t>
            </w:r>
          </w:p>
        </w:tc>
        <w:tc>
          <w:tcPr>
            <w:tcW w:type="dxa" w:w="12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0.67</w:t>
            </w:r>
          </w:p>
        </w:tc>
        <w:tc>
          <w:tcPr>
            <w:tcW w:type="dxa" w:w="14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78%</w:t>
            </w:r>
          </w:p>
        </w:tc>
        <w:tc>
          <w:tcPr>
            <w:tcW w:type="dxa" w:w="10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0.90</w:t>
            </w:r>
          </w:p>
        </w:tc>
        <w:tc>
          <w:tcPr>
            <w:tcW w:type="dxa" w:w="86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0.50</w:t>
            </w:r>
          </w:p>
        </w:tc>
      </w:tr>
    </w:tbl>
    <w:p>
      <w:pPr>
        <w:spacing w:after="80"/>
      </w:pPr>
    </w:p>
    <w:p>
      <w:pPr>
        <w:spacing w:after="120" w:line="288"/>
        <w:jc w:val="both"/>
      </w:pPr>
      <w:r>
        <w:rPr>
          <w:rFonts w:ascii="Times New Roman" w:cs="Times New Roman" w:eastAsia="Times New Roman" w:hAnsi="Times New Roman"/>
        </w:rPr>
        <w:t xml:space="preserve">Agreement between the two model families on the mean score is a Spearman correlation of 0.77 (strict) and 0.80 (described-task), with quadratic-weighted κ of 0.83 and 0.69 on rounded scores. Within a model, the two readings correlate at 0.86 (Qwen) and 0.81 (Llama). Three points stand out. First, the instrument is reasonably stable across repeated runs at temperature 0.7 (ICC around 0.8 for the primary model), and its dimension scores track its own holistic judgement (ρ ≈ 0.86), which supports aggregating dimensions with equal weights. Second, the primary model grounds 89% of its non-zero scores in words that appear in the official description; the remaining cases are mostly scores given without a quote, where the model relied on general knowledge despite the rule. Third, about half of occupations receive zero on every dimension, reflecting how rarely NCO-2015 descriptions mention digital work (Section 3.1); the broader described-task reading hardly changes this.</w:t>
      </w:r>
    </w:p>
    <w:p>
      <w:pPr>
        <w:spacing w:after="120" w:line="288"/>
        <w:jc w:val="both"/>
      </w:pPr>
      <w:r>
        <w:rPr>
          <w:rFonts w:ascii="Times New Roman" w:cs="Times New Roman" w:eastAsia="Times New Roman" w:hAnsi="Times New Roman"/>
          <w:b/>
          <w:bCs/>
          <w:highlight w:val="yellow"/>
        </w:rPr>
        <w:t xml:space="preserve">[PENDING-LLM]</w:t>
      </w:r>
      <w:r>
        <w:rPr>
          <w:rFonts w:ascii="Times New Roman" w:cs="Times New Roman" w:eastAsia="Times New Roman" w:hAnsi="Times New Roman"/>
        </w:rPr>
        <w:t xml:space="preserve"> Full-corpus results (3,450 occupations): distribution of DTI by division and skill level; most and least digital occupations; run stability; cross-model agreement; grounding rate.</w:t>
      </w:r>
    </w:p>
    <w:p>
      <w:pPr>
        <w:spacing w:after="120" w:line="288"/>
        <w:jc w:val="both"/>
      </w:pPr>
      <w:r>
        <w:rPr>
          <w:rFonts w:ascii="Times New Roman" w:cs="Times New Roman" w:eastAsia="Times New Roman" w:hAnsi="Times New Roman"/>
          <w:b/>
          <w:bCs/>
          <w:highlight w:val="yellow"/>
        </w:rPr>
        <w:t xml:space="preserve">[PENDING-HUMAN]</w:t>
      </w:r>
      <w:r>
        <w:rPr>
          <w:rFonts w:ascii="Times New Roman" w:cs="Times New Roman" w:eastAsia="Times New Roman" w:hAnsi="Times New Roman"/>
        </w:rPr>
        <w:t xml:space="preserve"> Human–LLM agreement relative to human–human agreement.</w:t>
      </w:r>
    </w:p>
    <w:p>
      <w:pPr>
        <w:pStyle w:val="Heading2"/>
        <w:spacing w:after="100" w:before="200"/>
      </w:pPr>
      <w:r>
        <w:rPr>
          <w:rFonts w:ascii="Times New Roman" w:cs="Times New Roman" w:eastAsia="Times New Roman" w:hAnsi="Times New Roman"/>
        </w:rPr>
        <w:t xml:space="preserve">6.2 India-specific versus O*NET-transferred intensity (RQ2)</w:t>
      </w:r>
    </w:p>
    <w:p>
      <w:pPr>
        <w:spacing w:after="120" w:line="288"/>
        <w:jc w:val="both"/>
      </w:pPr>
      <w:r>
        <w:rPr>
          <w:rFonts w:ascii="Times New Roman" w:cs="Times New Roman" w:eastAsia="Times New Roman" w:hAnsi="Times New Roman"/>
          <w:b/>
          <w:bCs/>
          <w:highlight w:val="yellow"/>
        </w:rPr>
        <w:t xml:space="preserve">[PENDING-LLM]</w:t>
      </w:r>
      <w:r>
        <w:rPr>
          <w:rFonts w:ascii="Times New Roman" w:cs="Times New Roman" w:eastAsia="Times New Roman" w:hAnsi="Times New Roman"/>
        </w:rPr>
        <w:t xml:space="preserve"> Correlation between NCO-LLM DTI and O*NET measures at the family level; DigitalGap by division and skill level.</w:t>
      </w:r>
    </w:p>
    <w:p>
      <w:pPr>
        <w:pStyle w:val="Heading2"/>
        <w:spacing w:after="100" w:before="200"/>
      </w:pPr>
      <w:r>
        <w:rPr>
          <w:rFonts w:ascii="Times New Roman" w:cs="Times New Roman" w:eastAsia="Times New Roman" w:hAnsi="Times New Roman"/>
        </w:rPr>
        <w:t xml:space="preserve">6.3 The conditional digital occupational premium (RQ3)</w:t>
      </w:r>
    </w:p>
    <w:p>
      <w:pPr>
        <w:spacing w:after="120" w:line="288"/>
        <w:jc w:val="both"/>
      </w:pPr>
      <w:r>
        <w:rPr>
          <w:rFonts w:ascii="Times New Roman" w:cs="Times New Roman" w:eastAsia="Times New Roman" w:hAnsi="Times New Roman"/>
          <w:b/>
          <w:bCs/>
          <w:highlight w:val="yellow"/>
        </w:rPr>
        <w:t xml:space="preserve">[PRELIMINARY — O*NET-transferred DTI.]</w:t>
      </w:r>
      <w:r>
        <w:rPr>
          <w:rFonts w:ascii="Times New Roman" w:cs="Times New Roman" w:eastAsia="Times New Roman" w:hAnsi="Times New Roman"/>
        </w:rPr>
        <w:t xml:space="preserve"> The estimates in 6.3–6.4 use the O*NET-transferred measure (Muro-type computer importance × level, mapped to NCO families; Section 4.6). They will be re-estimated with the NCO-LLM DTI </w:t>
      </w:r>
      <w:r>
        <w:rPr>
          <w:rFonts w:ascii="Times New Roman" w:cs="Times New Roman" w:eastAsia="Times New Roman" w:hAnsi="Times New Roman"/>
          <w:b/>
          <w:bCs/>
          <w:highlight w:val="yellow"/>
        </w:rPr>
        <w:t xml:space="preserve">[PENDING-LLM]</w:t>
      </w:r>
      <w:r>
        <w:rPr>
          <w:rFonts w:ascii="Times New Roman" w:cs="Times New Roman" w:eastAsia="Times New Roman" w:hAnsi="Times New Roman"/>
        </w:rPr>
        <w:t xml:space="preserve"> and then reported side by side, which is itself the RQ2 comparison applied to wages. Tables 1–10 below are generated from </w:t>
      </w:r>
      <w:r>
        <w:rPr>
          <w:rFonts w:ascii="Consolas" w:cs="Consolas" w:eastAsia="Consolas" w:hAnsi="Consolas"/>
          <w:sz w:val="20"/>
          <w:szCs w:val="20"/>
        </w:rPr>
        <w:t xml:space="preserve">reports/econ_onet/</w:t>
      </w:r>
      <w:r>
        <w:rPr>
          <w:rFonts w:ascii="Times New Roman" w:cs="Times New Roman" w:eastAsia="Times New Roman" w:hAnsi="Times New Roman"/>
        </w:rPr>
        <w:t xml:space="preserve"> by </w:t>
      </w:r>
      <w:r>
        <w:rPr>
          <w:rFonts w:ascii="Consolas" w:cs="Consolas" w:eastAsia="Consolas" w:hAnsi="Consolas"/>
          <w:sz w:val="20"/>
          <w:szCs w:val="20"/>
        </w:rPr>
        <w:t xml:space="preserve">paper/make_tables.py</w:t>
      </w:r>
      <w:r>
        <w:rPr>
          <w:rFonts w:ascii="Times New Roman" w:cs="Times New Roman" w:eastAsia="Times New Roman" w:hAnsi="Times New Roman"/>
        </w:rPr>
        <w:t xml:space="preserve">.</w:t>
      </w:r>
    </w:p>
    <w:p>
      <w:pPr>
        <w:spacing w:after="120" w:line="288"/>
        <w:jc w:val="both"/>
      </w:pPr>
      <w:r>
        <w:rPr>
          <w:rFonts w:ascii="Times New Roman" w:cs="Times New Roman" w:eastAsia="Times New Roman" w:hAnsi="Times New Roman"/>
        </w:rPr>
        <w:t xml:space="preserve">The sample comprises 465,826 regular and casual wage earners aged 15–64 in seven PLFS rounds, in 230 occupation groups (109 NCO-2004 and 121 NCO-2015 groups; Table 1). Without controls, a one-standard-deviation higher occupational DTI is associated with 30.4 log points higher hourly wages (Table 2, M1). Individual characteristics absorb most of this (M2: 11.2), state and industry fixed effects little more (M3: 10.7), and comparing occupations within the same broad occupational division halves it again: in the preferred specification the conditional premium is </w:t>
      </w:r>
      <w:r>
        <w:rPr>
          <w:rFonts w:ascii="Times New Roman" w:cs="Times New Roman" w:eastAsia="Times New Roman" w:hAnsi="Times New Roman"/>
          <w:b/>
          <w:bCs/>
        </w:rPr>
        <w:t xml:space="preserve">5.7 log points</w:t>
      </w:r>
      <w:r>
        <w:rPr>
          <w:rFonts w:ascii="Times New Roman" w:cs="Times New Roman" w:eastAsia="Times New Roman" w:hAnsi="Times New Roman"/>
        </w:rPr>
        <w:t xml:space="preserve"> (SE 1.5, M4). The estimate is stable to unweighted estimation (6.4) and to the wild cluster bootstrap (p = 0.001), is larger for monthly earnings (8.4), and is similar in the NCO-2004 (6.4) and NCO-2015 (4.4) rounds and when only directly linked NCO-2004 groups are used (5.5; Table 4). Correcting for selection into wage employment leaves it unchanged (5.7; Table 5).</w:t>
      </w:r>
    </w:p>
    <w:p>
      <w:pPr>
        <w:spacing w:after="120" w:line="288"/>
        <w:jc w:val="both"/>
      </w:pPr>
      <w:r>
        <w:rPr>
          <w:rFonts w:ascii="Times New Roman" w:cs="Times New Roman" w:eastAsia="Times New Roman" w:hAnsi="Times New Roman"/>
        </w:rPr>
        <w:t xml:space="preserve">Two results qualify the average. First, the premium is non-linear: relative to the least digital fifth of occupations, only the most digital fifth earns significantly more (13.5 log points; the second to fourth quintiles are within 0–4 points and not significant). Second, coefficient stability is weak: moving from M1 to M4 raises R² from 0.28 to 0.57 while the coefficient falls by four-fifths, so by Oster's (2019) criterion selection on unobservables only 0.40 times as strong as selection on observables would be enough to remove it (Table 3). This is consistent with our interpretation of β as a </w:t>
      </w:r>
      <w:r>
        <w:rPr>
          <w:rFonts w:ascii="Times New Roman" w:cs="Times New Roman" w:eastAsia="Times New Roman" w:hAnsi="Times New Roman"/>
          <w:b/>
          <w:bCs/>
        </w:rPr>
        <w:t xml:space="preserve">conditional occupational association rather than a causal return</w:t>
      </w:r>
      <w:r>
        <w:rPr>
          <w:rFonts w:ascii="Times New Roman" w:cs="Times New Roman" w:eastAsia="Times New Roman" w:hAnsi="Times New Roman"/>
        </w:rPr>
        <w:t xml:space="preserve"> to digital skills, and with substantial sorting of more able workers into digitally intensive occupations. Among regular wage workers the premium is 5.0; among casual workers it is zero (0.9, SE 1.8).</w:t>
      </w:r>
    </w:p>
    <w:p>
      <w:pPr>
        <w:pStyle w:val="Heading2"/>
        <w:spacing w:after="100" w:before="200"/>
      </w:pPr>
      <w:r>
        <w:rPr>
          <w:rFonts w:ascii="Times New Roman" w:cs="Times New Roman" w:eastAsia="Times New Roman" w:hAnsi="Times New Roman"/>
        </w:rPr>
        <w:t xml:space="preserve">Table 1. Analysis sample (regular and casual wage earners, 15–64)</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1"/>
        <w:gridCol w:w="1551"/>
        <w:gridCol w:w="1329"/>
        <w:gridCol w:w="1107"/>
        <w:gridCol w:w="886"/>
        <w:gridCol w:w="886"/>
        <w:gridCol w:w="886"/>
        <w:gridCol w:w="1110"/>
      </w:tblGrid>
      <w:tr>
        <w:trPr>
          <w:tblHeader/>
        </w:trPr>
        <w:tc>
          <w:tcPr>
            <w:tcW w:type="dxa" w:w="1551"/>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Round</w:t>
            </w:r>
          </w:p>
        </w:tc>
        <w:tc>
          <w:tcPr>
            <w:tcW w:type="dxa" w:w="1551"/>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NCO</w:t>
            </w:r>
          </w:p>
        </w:tc>
        <w:tc>
          <w:tcPr>
            <w:tcW w:type="dxa" w:w="1329"/>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Workers</w:t>
            </w:r>
          </w:p>
        </w:tc>
        <w:tc>
          <w:tcPr>
            <w:tcW w:type="dxa" w:w="1107"/>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Occ. groups</w:t>
            </w:r>
          </w:p>
        </w:tc>
        <w:tc>
          <w:tcPr>
            <w:tcW w:type="dxa" w:w="886"/>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 female</w:t>
            </w:r>
          </w:p>
        </w:tc>
        <w:tc>
          <w:tcPr>
            <w:tcW w:type="dxa" w:w="886"/>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 rural</w:t>
            </w:r>
          </w:p>
        </w:tc>
        <w:tc>
          <w:tcPr>
            <w:tcW w:type="dxa" w:w="886"/>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 casual</w:t>
            </w:r>
          </w:p>
        </w:tc>
        <w:tc>
          <w:tcPr>
            <w:tcW w:type="dxa" w:w="1110"/>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Mean ln wage</w:t>
            </w:r>
          </w:p>
        </w:tc>
      </w:tr>
      <w:tr>
        <w:trPr>
          <w:tblHeader w:val="off"/>
        </w:trPr>
        <w:tc>
          <w:tcPr>
            <w:tcW w:type="dxa" w:w="15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2017-18</w:t>
            </w:r>
          </w:p>
        </w:tc>
        <w:tc>
          <w:tcPr>
            <w:tcW w:type="dxa" w:w="15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nco2004</w:t>
            </w:r>
          </w:p>
        </w:tc>
        <w:tc>
          <w:tcPr>
            <w:tcW w:type="dxa" w:w="13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66,266</w:t>
            </w:r>
          </w:p>
        </w:tc>
        <w:tc>
          <w:tcPr>
            <w:tcW w:type="dxa" w:w="110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109</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22.0</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62.3</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49.8</w:t>
            </w:r>
          </w:p>
        </w:tc>
        <w:tc>
          <w:tcPr>
            <w:tcW w:type="dxa" w:w="111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3.593</w:t>
            </w:r>
          </w:p>
        </w:tc>
      </w:tr>
      <w:tr>
        <w:trPr>
          <w:tblHeader w:val="off"/>
        </w:trPr>
        <w:tc>
          <w:tcPr>
            <w:tcW w:type="dxa" w:w="15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2018-19</w:t>
            </w:r>
          </w:p>
        </w:tc>
        <w:tc>
          <w:tcPr>
            <w:tcW w:type="dxa" w:w="15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nco2004</w:t>
            </w:r>
          </w:p>
        </w:tc>
        <w:tc>
          <w:tcPr>
            <w:tcW w:type="dxa" w:w="13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65,869</w:t>
            </w:r>
          </w:p>
        </w:tc>
        <w:tc>
          <w:tcPr>
            <w:tcW w:type="dxa" w:w="110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109</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22.1</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61.1</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48.2</w:t>
            </w:r>
          </w:p>
        </w:tc>
        <w:tc>
          <w:tcPr>
            <w:tcW w:type="dxa" w:w="111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3.699</w:t>
            </w:r>
          </w:p>
        </w:tc>
      </w:tr>
      <w:tr>
        <w:trPr>
          <w:tblHeader w:val="off"/>
        </w:trPr>
        <w:tc>
          <w:tcPr>
            <w:tcW w:type="dxa" w:w="15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2019-20</w:t>
            </w:r>
          </w:p>
        </w:tc>
        <w:tc>
          <w:tcPr>
            <w:tcW w:type="dxa" w:w="15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nco2004</w:t>
            </w:r>
          </w:p>
        </w:tc>
        <w:tc>
          <w:tcPr>
            <w:tcW w:type="dxa" w:w="13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60,976</w:t>
            </w:r>
          </w:p>
        </w:tc>
        <w:tc>
          <w:tcPr>
            <w:tcW w:type="dxa" w:w="110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109</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25.3</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61.9</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49.9</w:t>
            </w:r>
          </w:p>
        </w:tc>
        <w:tc>
          <w:tcPr>
            <w:tcW w:type="dxa" w:w="111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3.762</w:t>
            </w:r>
          </w:p>
        </w:tc>
      </w:tr>
      <w:tr>
        <w:trPr>
          <w:tblHeader w:val="off"/>
        </w:trPr>
        <w:tc>
          <w:tcPr>
            <w:tcW w:type="dxa" w:w="15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2020-21</w:t>
            </w:r>
          </w:p>
        </w:tc>
        <w:tc>
          <w:tcPr>
            <w:tcW w:type="dxa" w:w="15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nco2004</w:t>
            </w:r>
          </w:p>
        </w:tc>
        <w:tc>
          <w:tcPr>
            <w:tcW w:type="dxa" w:w="13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64,037</w:t>
            </w:r>
          </w:p>
        </w:tc>
        <w:tc>
          <w:tcPr>
            <w:tcW w:type="dxa" w:w="110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109</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24.6</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63.8</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51.2</w:t>
            </w:r>
          </w:p>
        </w:tc>
        <w:tc>
          <w:tcPr>
            <w:tcW w:type="dxa" w:w="111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3.831</w:t>
            </w:r>
          </w:p>
        </w:tc>
      </w:tr>
      <w:tr>
        <w:trPr>
          <w:tblHeader w:val="off"/>
        </w:trPr>
        <w:tc>
          <w:tcPr>
            <w:tcW w:type="dxa" w:w="15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2021-22</w:t>
            </w:r>
          </w:p>
        </w:tc>
        <w:tc>
          <w:tcPr>
            <w:tcW w:type="dxa" w:w="15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nco2015</w:t>
            </w:r>
          </w:p>
        </w:tc>
        <w:tc>
          <w:tcPr>
            <w:tcW w:type="dxa" w:w="13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68,176</w:t>
            </w:r>
          </w:p>
        </w:tc>
        <w:tc>
          <w:tcPr>
            <w:tcW w:type="dxa" w:w="110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121</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22.8</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63.4</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48.8</w:t>
            </w:r>
          </w:p>
        </w:tc>
        <w:tc>
          <w:tcPr>
            <w:tcW w:type="dxa" w:w="111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3.968</w:t>
            </w:r>
          </w:p>
        </w:tc>
      </w:tr>
      <w:tr>
        <w:trPr>
          <w:tblHeader w:val="off"/>
        </w:trPr>
        <w:tc>
          <w:tcPr>
            <w:tcW w:type="dxa" w:w="15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2022-23</w:t>
            </w:r>
          </w:p>
        </w:tc>
        <w:tc>
          <w:tcPr>
            <w:tcW w:type="dxa" w:w="15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nco2015</w:t>
            </w:r>
          </w:p>
        </w:tc>
        <w:tc>
          <w:tcPr>
            <w:tcW w:type="dxa" w:w="13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69,658</w:t>
            </w:r>
          </w:p>
        </w:tc>
        <w:tc>
          <w:tcPr>
            <w:tcW w:type="dxa" w:w="110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121</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23.3</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65.0</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49.4</w:t>
            </w:r>
          </w:p>
        </w:tc>
        <w:tc>
          <w:tcPr>
            <w:tcW w:type="dxa" w:w="111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4.037</w:t>
            </w:r>
          </w:p>
        </w:tc>
      </w:tr>
      <w:tr>
        <w:trPr>
          <w:tblHeader w:val="off"/>
        </w:trPr>
        <w:tc>
          <w:tcPr>
            <w:tcW w:type="dxa" w:w="15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2023-24</w:t>
            </w:r>
          </w:p>
        </w:tc>
        <w:tc>
          <w:tcPr>
            <w:tcW w:type="dxa" w:w="155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nco2015</w:t>
            </w:r>
          </w:p>
        </w:tc>
        <w:tc>
          <w:tcPr>
            <w:tcW w:type="dxa" w:w="13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70,844</w:t>
            </w:r>
          </w:p>
        </w:tc>
        <w:tc>
          <w:tcPr>
            <w:tcW w:type="dxa" w:w="110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121</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24.6</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62.1</w:t>
            </w:r>
          </w:p>
        </w:tc>
        <w:tc>
          <w:tcPr>
            <w:tcW w:type="dxa" w:w="8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45.6</w:t>
            </w:r>
          </w:p>
        </w:tc>
        <w:tc>
          <w:tcPr>
            <w:tcW w:type="dxa" w:w="111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4.108</w:t>
            </w:r>
          </w:p>
        </w:tc>
      </w:tr>
    </w:tbl>
    <w:p>
      <w:pPr>
        <w:spacing w:after="80"/>
      </w:pPr>
    </w:p>
    <w:p>
      <w:pPr>
        <w:spacing w:after="120" w:line="288"/>
        <w:jc w:val="both"/>
      </w:pPr>
      <w:r>
        <w:rPr>
          <w:rFonts w:ascii="Times New Roman" w:cs="Times New Roman" w:eastAsia="Times New Roman" w:hAnsi="Times New Roman"/>
        </w:rPr>
        <w:t xml:space="preserve">Total: 465,826 workers.</w:t>
      </w:r>
    </w:p>
    <w:p>
      <w:pPr>
        <w:pStyle w:val="Heading2"/>
        <w:spacing w:after="100" w:before="200"/>
      </w:pPr>
      <w:r>
        <w:rPr>
          <w:rFonts w:ascii="Times New Roman" w:cs="Times New Roman" w:eastAsia="Times New Roman" w:hAnsi="Times New Roman"/>
        </w:rPr>
        <w:t xml:space="preserve">Table 2. Conditional digital occupational premium (RQ3)</w:t>
      </w:r>
    </w:p>
    <w:p>
      <w:pPr>
        <w:spacing w:after="120" w:line="288"/>
        <w:jc w:val="both"/>
      </w:pPr>
      <w:r>
        <w:rPr>
          <w:rFonts w:ascii="Times New Roman" w:cs="Times New Roman" w:eastAsia="Times New Roman" w:hAnsi="Times New Roman"/>
        </w:rPr>
        <w:t xml:space="preserve">M1: year-quarter FE. M2: + individual controls, education, social group, religion FE. M3: + state and industry FE. M4 (preferred): + occupational division FE. M5: dimensions.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5"/>
        <w:gridCol w:w="1514"/>
        <w:gridCol w:w="3462"/>
        <w:gridCol w:w="1514"/>
        <w:gridCol w:w="865"/>
        <w:gridCol w:w="1086"/>
      </w:tblGrid>
      <w:tr>
        <w:trPr>
          <w:tblHeader/>
        </w:trPr>
        <w:tc>
          <w:tcPr>
            <w:tcW w:type="dxa" w:w="865"/>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Model</w:t>
            </w:r>
          </w:p>
        </w:tc>
        <w:tc>
          <w:tcPr>
            <w:tcW w:type="dxa" w:w="1514"/>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Term</w:t>
            </w:r>
          </w:p>
        </w:tc>
        <w:tc>
          <w:tcPr>
            <w:tcW w:type="dxa" w:w="3462"/>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Coef. (SE)</w:t>
            </w:r>
          </w:p>
        </w:tc>
        <w:tc>
          <w:tcPr>
            <w:tcW w:type="dxa" w:w="1514"/>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N</w:t>
            </w:r>
          </w:p>
        </w:tc>
        <w:tc>
          <w:tcPr>
            <w:tcW w:type="dxa" w:w="865"/>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Clusters</w:t>
            </w:r>
          </w:p>
        </w:tc>
        <w:tc>
          <w:tcPr>
            <w:tcW w:type="dxa" w:w="1086"/>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R²</w:t>
            </w:r>
          </w:p>
        </w:tc>
      </w:tr>
      <w:tr>
        <w:trPr>
          <w:tblHeader w:val="off"/>
        </w:trPr>
        <w:tc>
          <w:tcPr>
            <w:tcW w:type="dxa" w:w="86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M1</w:t>
            </w:r>
          </w:p>
        </w:tc>
        <w:tc>
          <w:tcPr>
            <w:tcW w:type="dxa" w:w="151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346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0.304*** (0.025)</w:t>
            </w:r>
          </w:p>
        </w:tc>
        <w:tc>
          <w:tcPr>
            <w:tcW w:type="dxa" w:w="151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465,826</w:t>
            </w:r>
          </w:p>
        </w:tc>
        <w:tc>
          <w:tcPr>
            <w:tcW w:type="dxa" w:w="86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230</w:t>
            </w:r>
          </w:p>
        </w:tc>
        <w:tc>
          <w:tcPr>
            <w:tcW w:type="dxa" w:w="10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0.278</w:t>
            </w:r>
          </w:p>
        </w:tc>
      </w:tr>
      <w:tr>
        <w:trPr>
          <w:tblHeader w:val="off"/>
        </w:trPr>
        <w:tc>
          <w:tcPr>
            <w:tcW w:type="dxa" w:w="86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M2</w:t>
            </w:r>
          </w:p>
        </w:tc>
        <w:tc>
          <w:tcPr>
            <w:tcW w:type="dxa" w:w="151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346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0.112*** (0.019)</w:t>
            </w:r>
          </w:p>
        </w:tc>
        <w:tc>
          <w:tcPr>
            <w:tcW w:type="dxa" w:w="151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465,794</w:t>
            </w:r>
          </w:p>
        </w:tc>
        <w:tc>
          <w:tcPr>
            <w:tcW w:type="dxa" w:w="86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230</w:t>
            </w:r>
          </w:p>
        </w:tc>
        <w:tc>
          <w:tcPr>
            <w:tcW w:type="dxa" w:w="10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0.465</w:t>
            </w:r>
          </w:p>
        </w:tc>
      </w:tr>
      <w:tr>
        <w:trPr>
          <w:tblHeader w:val="off"/>
        </w:trPr>
        <w:tc>
          <w:tcPr>
            <w:tcW w:type="dxa" w:w="86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M3</w:t>
            </w:r>
          </w:p>
        </w:tc>
        <w:tc>
          <w:tcPr>
            <w:tcW w:type="dxa" w:w="151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346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0.107*** (0.016)</w:t>
            </w:r>
          </w:p>
        </w:tc>
        <w:tc>
          <w:tcPr>
            <w:tcW w:type="dxa" w:w="151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465,794</w:t>
            </w:r>
          </w:p>
        </w:tc>
        <w:tc>
          <w:tcPr>
            <w:tcW w:type="dxa" w:w="86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230</w:t>
            </w:r>
          </w:p>
        </w:tc>
        <w:tc>
          <w:tcPr>
            <w:tcW w:type="dxa" w:w="10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0.561</w:t>
            </w:r>
          </w:p>
        </w:tc>
      </w:tr>
      <w:tr>
        <w:trPr>
          <w:tblHeader w:val="off"/>
        </w:trPr>
        <w:tc>
          <w:tcPr>
            <w:tcW w:type="dxa" w:w="86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w:t>
            </w:r>
          </w:p>
        </w:tc>
        <w:tc>
          <w:tcPr>
            <w:tcW w:type="dxa" w:w="151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346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0.057*** (0.015)</w:t>
            </w:r>
          </w:p>
        </w:tc>
        <w:tc>
          <w:tcPr>
            <w:tcW w:type="dxa" w:w="151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465,794</w:t>
            </w:r>
          </w:p>
        </w:tc>
        <w:tc>
          <w:tcPr>
            <w:tcW w:type="dxa" w:w="86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230</w:t>
            </w:r>
          </w:p>
        </w:tc>
        <w:tc>
          <w:tcPr>
            <w:tcW w:type="dxa" w:w="108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0.571</w:t>
            </w:r>
          </w:p>
        </w:tc>
      </w:tr>
    </w:tbl>
    <w:p>
      <w:pPr>
        <w:spacing w:after="80"/>
      </w:pPr>
    </w:p>
    <w:p>
      <w:pPr>
        <w:pStyle w:val="Heading2"/>
        <w:spacing w:after="100" w:before="200"/>
      </w:pPr>
      <w:r>
        <w:rPr>
          <w:rFonts w:ascii="Times New Roman" w:cs="Times New Roman" w:eastAsia="Times New Roman" w:hAnsi="Times New Roman"/>
        </w:rPr>
        <w:t xml:space="preserve">Table 3. Oster (2019) coefficient stability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7"/>
        <w:gridCol w:w="1257"/>
        <w:gridCol w:w="1257"/>
        <w:gridCol w:w="1257"/>
        <w:gridCol w:w="1509"/>
        <w:gridCol w:w="1257"/>
        <w:gridCol w:w="1512"/>
      </w:tblGrid>
      <w:tr>
        <w:trPr>
          <w:tblHeader/>
        </w:trPr>
        <w:tc>
          <w:tcPr>
            <w:tcW w:type="dxa" w:w="1257"/>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β (M1)</w:t>
            </w:r>
          </w:p>
        </w:tc>
        <w:tc>
          <w:tcPr>
            <w:tcW w:type="dxa" w:w="1257"/>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R² (M1)</w:t>
            </w:r>
          </w:p>
        </w:tc>
        <w:tc>
          <w:tcPr>
            <w:tcW w:type="dxa" w:w="1257"/>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β (M4)</w:t>
            </w:r>
          </w:p>
        </w:tc>
        <w:tc>
          <w:tcPr>
            <w:tcW w:type="dxa" w:w="1257"/>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R² (M4)</w:t>
            </w:r>
          </w:p>
        </w:tc>
        <w:tc>
          <w:tcPr>
            <w:tcW w:type="dxa" w:w="1509"/>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R_max = 1.3 R²</w:t>
            </w:r>
          </w:p>
        </w:tc>
        <w:tc>
          <w:tcPr>
            <w:tcW w:type="dxa" w:w="1257"/>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δ for β = 0</w:t>
            </w:r>
          </w:p>
        </w:tc>
        <w:tc>
          <w:tcPr>
            <w:tcW w:type="dxa" w:w="1512"/>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β at δ = 1</w:t>
            </w:r>
          </w:p>
        </w:tc>
      </w:tr>
      <w:tr>
        <w:trPr>
          <w:tblHeader w:val="off"/>
        </w:trPr>
        <w:tc>
          <w:tcPr>
            <w:tcW w:type="dxa" w:w="12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0.304</w:t>
            </w:r>
          </w:p>
        </w:tc>
        <w:tc>
          <w:tcPr>
            <w:tcW w:type="dxa" w:w="12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0.278</w:t>
            </w:r>
          </w:p>
        </w:tc>
        <w:tc>
          <w:tcPr>
            <w:tcW w:type="dxa" w:w="12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0.057</w:t>
            </w:r>
          </w:p>
        </w:tc>
        <w:tc>
          <w:tcPr>
            <w:tcW w:type="dxa" w:w="12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0.571</w:t>
            </w:r>
          </w:p>
        </w:tc>
        <w:tc>
          <w:tcPr>
            <w:tcW w:type="dxa" w:w="150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0.742</w:t>
            </w:r>
          </w:p>
        </w:tc>
        <w:tc>
          <w:tcPr>
            <w:tcW w:type="dxa" w:w="12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0.40</w:t>
            </w:r>
          </w:p>
        </w:tc>
        <w:tc>
          <w:tcPr>
            <w:tcW w:type="dxa" w:w="151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-0.087</w:t>
            </w:r>
          </w:p>
        </w:tc>
      </w:tr>
    </w:tbl>
    <w:p>
      <w:pPr>
        <w:spacing w:after="80"/>
      </w:pPr>
    </w:p>
    <w:p>
      <w:pPr>
        <w:spacing w:after="120" w:line="288"/>
        <w:jc w:val="both"/>
      </w:pPr>
      <w:r>
        <w:rPr>
          <w:rFonts w:ascii="Times New Roman" w:cs="Times New Roman" w:eastAsia="Times New Roman" w:hAnsi="Times New Roman"/>
        </w:rPr>
        <w:t xml:space="preserve">δ &lt; 1 means selection on unobservables weaker than selection on observables would suffice to explain the estimate away.</w:t>
      </w:r>
    </w:p>
    <w:p>
      <w:pPr>
        <w:pStyle w:val="Heading2"/>
        <w:spacing w:after="100" w:before="200"/>
      </w:pPr>
      <w:r>
        <w:rPr>
          <w:rFonts w:ascii="Times New Roman" w:cs="Times New Roman" w:eastAsia="Times New Roman" w:hAnsi="Times New Roman"/>
        </w:rPr>
        <w:t xml:space="preserve">Table 4. Robustness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83"/>
        <w:gridCol w:w="868"/>
        <w:gridCol w:w="1985"/>
        <w:gridCol w:w="870"/>
      </w:tblGrid>
      <w:tr>
        <w:trPr>
          <w:tblHeader/>
        </w:trPr>
        <w:tc>
          <w:tcPr>
            <w:tcW w:type="dxa" w:w="5583"/>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Specification</w:t>
            </w:r>
          </w:p>
        </w:tc>
        <w:tc>
          <w:tcPr>
            <w:tcW w:type="dxa" w:w="868"/>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Term</w:t>
            </w:r>
          </w:p>
        </w:tc>
        <w:tc>
          <w:tcPr>
            <w:tcW w:type="dxa" w:w="1985"/>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Coef. (SE)</w:t>
            </w:r>
          </w:p>
        </w:tc>
        <w:tc>
          <w:tcPr>
            <w:tcW w:type="dxa" w:w="870"/>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N</w:t>
            </w:r>
          </w:p>
        </w:tc>
      </w:tr>
      <w:tr>
        <w:trPr>
          <w:tblHeader w:val="off"/>
        </w:trPr>
        <w:tc>
          <w:tcPr>
            <w:tcW w:type="dxa" w:w="558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unweighted</w:t>
            </w:r>
          </w:p>
        </w:tc>
        <w:tc>
          <w:tcPr>
            <w:tcW w:type="dxa" w:w="86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19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0.064*** (0.016)</w:t>
            </w:r>
          </w:p>
        </w:tc>
        <w:tc>
          <w:tcPr>
            <w:tcW w:type="dxa" w:w="8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465,794</w:t>
            </w:r>
          </w:p>
        </w:tc>
      </w:tr>
      <w:tr>
        <w:trPr>
          <w:tblHeader w:val="off"/>
        </w:trPr>
        <w:tc>
          <w:tcPr>
            <w:tcW w:type="dxa" w:w="558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unweighted, wild cluster bootstrap</w:t>
            </w:r>
          </w:p>
        </w:tc>
        <w:tc>
          <w:tcPr>
            <w:tcW w:type="dxa" w:w="86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19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0.064*** (0.016)</w:t>
            </w:r>
          </w:p>
        </w:tc>
        <w:tc>
          <w:tcPr>
            <w:tcW w:type="dxa" w:w="8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465,794</w:t>
            </w:r>
          </w:p>
        </w:tc>
      </w:tr>
      <w:tr>
        <w:trPr>
          <w:tblHeader w:val="off"/>
        </w:trPr>
        <w:tc>
          <w:tcPr>
            <w:tcW w:type="dxa" w:w="558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monthly earnings</w:t>
            </w:r>
          </w:p>
        </w:tc>
        <w:tc>
          <w:tcPr>
            <w:tcW w:type="dxa" w:w="86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19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0.084*** (0.014)</w:t>
            </w:r>
          </w:p>
        </w:tc>
        <w:tc>
          <w:tcPr>
            <w:tcW w:type="dxa" w:w="8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469,750</w:t>
            </w:r>
          </w:p>
        </w:tc>
      </w:tr>
      <w:tr>
        <w:trPr>
          <w:tblHeader w:val="off"/>
        </w:trPr>
        <w:tc>
          <w:tcPr>
            <w:tcW w:type="dxa" w:w="558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regular wage workers only</w:t>
            </w:r>
          </w:p>
        </w:tc>
        <w:tc>
          <w:tcPr>
            <w:tcW w:type="dxa" w:w="86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19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0.050*** (0.015)</w:t>
            </w:r>
          </w:p>
        </w:tc>
        <w:tc>
          <w:tcPr>
            <w:tcW w:type="dxa" w:w="8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284,136</w:t>
            </w:r>
          </w:p>
        </w:tc>
      </w:tr>
      <w:tr>
        <w:trPr>
          <w:tblHeader w:val="off"/>
        </w:trPr>
        <w:tc>
          <w:tcPr>
            <w:tcW w:type="dxa" w:w="558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casual workers only</w:t>
            </w:r>
          </w:p>
        </w:tc>
        <w:tc>
          <w:tcPr>
            <w:tcW w:type="dxa" w:w="86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19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0.009 (0.018)</w:t>
            </w:r>
          </w:p>
        </w:tc>
        <w:tc>
          <w:tcPr>
            <w:tcW w:type="dxa" w:w="8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181,657</w:t>
            </w:r>
          </w:p>
        </w:tc>
      </w:tr>
      <w:tr>
        <w:trPr>
          <w:tblHeader w:val="off"/>
        </w:trPr>
        <w:tc>
          <w:tcPr>
            <w:tcW w:type="dxa" w:w="558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NCO-2015 rounds (Jul 2021+)</w:t>
            </w:r>
          </w:p>
        </w:tc>
        <w:tc>
          <w:tcPr>
            <w:tcW w:type="dxa" w:w="86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19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0.044*** (0.013)</w:t>
            </w:r>
          </w:p>
        </w:tc>
        <w:tc>
          <w:tcPr>
            <w:tcW w:type="dxa" w:w="8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208,678</w:t>
            </w:r>
          </w:p>
        </w:tc>
      </w:tr>
      <w:tr>
        <w:trPr>
          <w:tblHeader w:val="off"/>
        </w:trPr>
        <w:tc>
          <w:tcPr>
            <w:tcW w:type="dxa" w:w="558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NCO-2004 rounds (pre Jul 2021)</w:t>
            </w:r>
          </w:p>
        </w:tc>
        <w:tc>
          <w:tcPr>
            <w:tcW w:type="dxa" w:w="86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19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0.064*** (0.020)</w:t>
            </w:r>
          </w:p>
        </w:tc>
        <w:tc>
          <w:tcPr>
            <w:tcW w:type="dxa" w:w="8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257,116</w:t>
            </w:r>
          </w:p>
        </w:tc>
      </w:tr>
      <w:tr>
        <w:trPr>
          <w:tblHeader w:val="off"/>
        </w:trPr>
        <w:tc>
          <w:tcPr>
            <w:tcW w:type="dxa" w:w="558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NCO-2004 groups with &gt;=75% direct links</w:t>
            </w:r>
          </w:p>
        </w:tc>
        <w:tc>
          <w:tcPr>
            <w:tcW w:type="dxa" w:w="86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19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0.055*** (0.015)</w:t>
            </w:r>
          </w:p>
        </w:tc>
        <w:tc>
          <w:tcPr>
            <w:tcW w:type="dxa" w:w="8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355,132</w:t>
            </w:r>
          </w:p>
        </w:tc>
      </w:tr>
      <w:tr>
        <w:trPr>
          <w:tblHeader w:val="off"/>
        </w:trPr>
        <w:tc>
          <w:tcPr>
            <w:tcW w:type="dxa" w:w="558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DTI quintiles (base Q1)</w:t>
            </w:r>
          </w:p>
        </w:tc>
        <w:tc>
          <w:tcPr>
            <w:tcW w:type="dxa" w:w="86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dti_q2</w:t>
            </w:r>
          </w:p>
        </w:tc>
        <w:tc>
          <w:tcPr>
            <w:tcW w:type="dxa" w:w="19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0.003 (0.020)</w:t>
            </w:r>
          </w:p>
        </w:tc>
        <w:tc>
          <w:tcPr>
            <w:tcW w:type="dxa" w:w="8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465,794</w:t>
            </w:r>
          </w:p>
        </w:tc>
      </w:tr>
      <w:tr>
        <w:trPr>
          <w:tblHeader w:val="off"/>
        </w:trPr>
        <w:tc>
          <w:tcPr>
            <w:tcW w:type="dxa" w:w="558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DTI quintiles (base Q1)</w:t>
            </w:r>
          </w:p>
        </w:tc>
        <w:tc>
          <w:tcPr>
            <w:tcW w:type="dxa" w:w="86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dti_q3</w:t>
            </w:r>
          </w:p>
        </w:tc>
        <w:tc>
          <w:tcPr>
            <w:tcW w:type="dxa" w:w="19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0.025 (0.021)</w:t>
            </w:r>
          </w:p>
        </w:tc>
        <w:tc>
          <w:tcPr>
            <w:tcW w:type="dxa" w:w="8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465,794</w:t>
            </w:r>
          </w:p>
        </w:tc>
      </w:tr>
      <w:tr>
        <w:trPr>
          <w:tblHeader w:val="off"/>
        </w:trPr>
        <w:tc>
          <w:tcPr>
            <w:tcW w:type="dxa" w:w="558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DTI quintiles (base Q1)</w:t>
            </w:r>
          </w:p>
        </w:tc>
        <w:tc>
          <w:tcPr>
            <w:tcW w:type="dxa" w:w="86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dti_q4</w:t>
            </w:r>
          </w:p>
        </w:tc>
        <w:tc>
          <w:tcPr>
            <w:tcW w:type="dxa" w:w="19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0.036 (0.025)</w:t>
            </w:r>
          </w:p>
        </w:tc>
        <w:tc>
          <w:tcPr>
            <w:tcW w:type="dxa" w:w="8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465,794</w:t>
            </w:r>
          </w:p>
        </w:tc>
      </w:tr>
      <w:tr>
        <w:trPr>
          <w:tblHeader w:val="off"/>
        </w:trPr>
        <w:tc>
          <w:tcPr>
            <w:tcW w:type="dxa" w:w="558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DTI quintiles (base Q1)</w:t>
            </w:r>
          </w:p>
        </w:tc>
        <w:tc>
          <w:tcPr>
            <w:tcW w:type="dxa" w:w="86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dti_q5</w:t>
            </w:r>
          </w:p>
        </w:tc>
        <w:tc>
          <w:tcPr>
            <w:tcW w:type="dxa" w:w="19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0.135*** (0.041)</w:t>
            </w:r>
          </w:p>
        </w:tc>
        <w:tc>
          <w:tcPr>
            <w:tcW w:type="dxa" w:w="8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465,794</w:t>
            </w:r>
          </w:p>
        </w:tc>
      </w:tr>
      <w:tr>
        <w:trPr>
          <w:tblHeader w:val="off"/>
        </w:trPr>
        <w:tc>
          <w:tcPr>
            <w:tcW w:type="dxa" w:w="558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self-employed (earnings incl. capital returns)</w:t>
            </w:r>
          </w:p>
        </w:tc>
        <w:tc>
          <w:tcPr>
            <w:tcW w:type="dxa" w:w="86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198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-0.039* (0.022)</w:t>
            </w:r>
          </w:p>
        </w:tc>
        <w:tc>
          <w:tcPr>
            <w:tcW w:type="dxa" w:w="8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384,470</w:t>
            </w:r>
          </w:p>
        </w:tc>
      </w:tr>
    </w:tbl>
    <w:p>
      <w:pPr>
        <w:spacing w:after="80"/>
      </w:pPr>
    </w:p>
    <w:p>
      <w:pPr>
        <w:spacing w:after="120" w:line="288"/>
        <w:jc w:val="both"/>
      </w:pPr>
      <w:r>
        <w:rPr>
          <w:rFonts w:ascii="Times New Roman" w:cs="Times New Roman" w:eastAsia="Times New Roman" w:hAnsi="Times New Roman"/>
        </w:rPr>
        <w:t xml:space="preserve">Wild cluster bootstrap row: p-value from the bootstrap (999 replications).</w:t>
      </w:r>
    </w:p>
    <w:p>
      <w:pPr>
        <w:pStyle w:val="Heading2"/>
        <w:spacing w:after="100" w:before="200"/>
      </w:pPr>
      <w:r>
        <w:rPr>
          <w:rFonts w:ascii="Times New Roman" w:cs="Times New Roman" w:eastAsia="Times New Roman" w:hAnsi="Times New Roman"/>
        </w:rPr>
        <w:t xml:space="preserve">Table 5. Selection-corrected premium (Heckman two-step)</w:t>
      </w:r>
    </w:p>
    <w:p>
      <w:pPr>
        <w:spacing w:after="120" w:line="288"/>
        <w:jc w:val="both"/>
      </w:pPr>
      <w:r>
        <w:rPr>
          <w:rFonts w:ascii="Times New Roman" w:cs="Times New Roman" w:eastAsia="Times New Roman" w:hAnsi="Times New Roman"/>
        </w:rPr>
        <w:t xml:space="preserve">Exclusion restrictions: hh_children_u6, hh_size, hh_head. Second-step SEs not corrected for the generated regressor.</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9"/>
        <w:gridCol w:w="1480"/>
        <w:gridCol w:w="3595"/>
        <w:gridCol w:w="1482"/>
      </w:tblGrid>
      <w:tr>
        <w:trPr>
          <w:tblHeader/>
        </w:trPr>
        <w:tc>
          <w:tcPr>
            <w:tcW w:type="dxa" w:w="2749"/>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Sample</w:t>
            </w:r>
          </w:p>
        </w:tc>
        <w:tc>
          <w:tcPr>
            <w:tcW w:type="dxa" w:w="1480"/>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Term</w:t>
            </w:r>
          </w:p>
        </w:tc>
        <w:tc>
          <w:tcPr>
            <w:tcW w:type="dxa" w:w="3595"/>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Coef. (SE)</w:t>
            </w:r>
          </w:p>
        </w:tc>
        <w:tc>
          <w:tcPr>
            <w:tcW w:type="dxa" w:w="1482"/>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N</w:t>
            </w:r>
          </w:p>
        </w:tc>
      </w:tr>
      <w:tr>
        <w:trPr>
          <w:tblHeader w:val="off"/>
        </w:trPr>
        <w:tc>
          <w:tcPr>
            <w:tcW w:type="dxa" w:w="274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Heckman all</w:t>
            </w:r>
          </w:p>
        </w:tc>
        <w:tc>
          <w:tcPr>
            <w:tcW w:type="dxa" w:w="148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359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0.057*** (0.014)</w:t>
            </w:r>
          </w:p>
        </w:tc>
        <w:tc>
          <w:tcPr>
            <w:tcW w:type="dxa" w:w="148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465,794</w:t>
            </w:r>
          </w:p>
        </w:tc>
      </w:tr>
      <w:tr>
        <w:trPr>
          <w:tblHeader w:val="off"/>
        </w:trPr>
        <w:tc>
          <w:tcPr>
            <w:tcW w:type="dxa" w:w="274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Heckman all</w:t>
            </w:r>
          </w:p>
        </w:tc>
        <w:tc>
          <w:tcPr>
            <w:tcW w:type="dxa" w:w="148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imr</w:t>
            </w:r>
          </w:p>
        </w:tc>
        <w:tc>
          <w:tcPr>
            <w:tcW w:type="dxa" w:w="359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-0.226*** (0.036)</w:t>
            </w:r>
          </w:p>
        </w:tc>
        <w:tc>
          <w:tcPr>
            <w:tcW w:type="dxa" w:w="148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465,794</w:t>
            </w:r>
          </w:p>
        </w:tc>
      </w:tr>
      <w:tr>
        <w:trPr>
          <w:tblHeader w:val="off"/>
        </w:trPr>
        <w:tc>
          <w:tcPr>
            <w:tcW w:type="dxa" w:w="274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Heckman men</w:t>
            </w:r>
          </w:p>
        </w:tc>
        <w:tc>
          <w:tcPr>
            <w:tcW w:type="dxa" w:w="148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359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0.035** (0.014)</w:t>
            </w:r>
          </w:p>
        </w:tc>
        <w:tc>
          <w:tcPr>
            <w:tcW w:type="dxa" w:w="148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357,770</w:t>
            </w:r>
          </w:p>
        </w:tc>
      </w:tr>
      <w:tr>
        <w:trPr>
          <w:tblHeader w:val="off"/>
        </w:trPr>
        <w:tc>
          <w:tcPr>
            <w:tcW w:type="dxa" w:w="274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Heckman men</w:t>
            </w:r>
          </w:p>
        </w:tc>
        <w:tc>
          <w:tcPr>
            <w:tcW w:type="dxa" w:w="148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imr</w:t>
            </w:r>
          </w:p>
        </w:tc>
        <w:tc>
          <w:tcPr>
            <w:tcW w:type="dxa" w:w="359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-0.093*** (0.033)</w:t>
            </w:r>
          </w:p>
        </w:tc>
        <w:tc>
          <w:tcPr>
            <w:tcW w:type="dxa" w:w="148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357,770</w:t>
            </w:r>
          </w:p>
        </w:tc>
      </w:tr>
      <w:tr>
        <w:trPr>
          <w:tblHeader w:val="off"/>
        </w:trPr>
        <w:tc>
          <w:tcPr>
            <w:tcW w:type="dxa" w:w="274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Heckman women</w:t>
            </w:r>
          </w:p>
        </w:tc>
        <w:tc>
          <w:tcPr>
            <w:tcW w:type="dxa" w:w="148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359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0.083*** (0.019)</w:t>
            </w:r>
          </w:p>
        </w:tc>
        <w:tc>
          <w:tcPr>
            <w:tcW w:type="dxa" w:w="148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108,023</w:t>
            </w:r>
          </w:p>
        </w:tc>
      </w:tr>
      <w:tr>
        <w:trPr>
          <w:tblHeader w:val="off"/>
        </w:trPr>
        <w:tc>
          <w:tcPr>
            <w:tcW w:type="dxa" w:w="274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Heckman women</w:t>
            </w:r>
          </w:p>
        </w:tc>
        <w:tc>
          <w:tcPr>
            <w:tcW w:type="dxa" w:w="148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imr</w:t>
            </w:r>
          </w:p>
        </w:tc>
        <w:tc>
          <w:tcPr>
            <w:tcW w:type="dxa" w:w="359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-0.242*** (0.047)</w:t>
            </w:r>
          </w:p>
        </w:tc>
        <w:tc>
          <w:tcPr>
            <w:tcW w:type="dxa" w:w="148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108,023</w:t>
            </w:r>
          </w:p>
        </w:tc>
      </w:tr>
    </w:tbl>
    <w:p>
      <w:pPr>
        <w:spacing w:after="80"/>
      </w:pPr>
    </w:p>
    <w:p>
      <w:pPr>
        <w:pStyle w:val="Heading2"/>
        <w:spacing w:after="100" w:before="200"/>
      </w:pPr>
      <w:r>
        <w:rPr>
          <w:rFonts w:ascii="Times New Roman" w:cs="Times New Roman" w:eastAsia="Times New Roman" w:hAnsi="Times New Roman"/>
        </w:rPr>
        <w:t xml:space="preserve">6.4 Heterogeneity (RQ4)</w:t>
      </w:r>
    </w:p>
    <w:p>
      <w:pPr>
        <w:spacing w:after="120" w:line="288"/>
        <w:jc w:val="both"/>
      </w:pPr>
      <w:r>
        <w:rPr>
          <w:rFonts w:ascii="Times New Roman" w:cs="Times New Roman" w:eastAsia="Times New Roman" w:hAnsi="Times New Roman"/>
          <w:b/>
          <w:bCs/>
          <w:highlight w:val="yellow"/>
        </w:rPr>
        <w:t xml:space="preserve">[PRELIMINARY — O*NET-transferred DTI.]</w:t>
      </w:r>
    </w:p>
    <w:p>
      <w:pPr>
        <w:spacing w:after="120" w:line="288"/>
        <w:jc w:val="both"/>
      </w:pPr>
      <w:r>
        <w:rPr>
          <w:rFonts w:ascii="Times New Roman" w:cs="Times New Roman" w:eastAsia="Times New Roman" w:hAnsi="Times New Roman"/>
          <w:i/>
          <w:iCs/>
        </w:rPr>
        <w:t xml:space="preserve">Across the wage distribution.</w:t>
      </w:r>
      <w:r>
        <w:rPr>
          <w:rFonts w:ascii="Times New Roman" w:cs="Times New Roman" w:eastAsia="Times New Roman" w:hAnsi="Times New Roman"/>
        </w:rPr>
        <w:t xml:space="preserve"> The premium rises steeply with the wage level: unconditional quantile estimates are 1.6 and 1.8 log points (not significant) at the 10th and 25th percentiles, 3.6 at the median, 7.8 at the 75th and 19.8 at the 90th percentile; conditional quantile estimates show the same gradient (2.6 to 12.1; Table 6). Occupational digital intensity is associated with higher pay mainly at the top of the distribution.</w:t>
      </w:r>
    </w:p>
    <w:p>
      <w:pPr>
        <w:spacing w:after="120" w:line="288"/>
        <w:jc w:val="both"/>
      </w:pPr>
      <w:r>
        <w:rPr>
          <w:rFonts w:ascii="Times New Roman" w:cs="Times New Roman" w:eastAsia="Times New Roman" w:hAnsi="Times New Roman"/>
          <w:i/>
          <w:iCs/>
        </w:rPr>
        <w:t xml:space="preserve">Education.</w:t>
      </w:r>
      <w:r>
        <w:rPr>
          <w:rFonts w:ascii="Times New Roman" w:cs="Times New Roman" w:eastAsia="Times New Roman" w:hAnsi="Times New Roman"/>
        </w:rPr>
        <w:t xml:space="preserve"> The clearest dividing line is education. Estimated separately, the premium is zero for workers with at most primary education (−0.4), 4.8 for those with middle or secondary schooling and 7.3 for tertiary graduates (Table 9). The interaction estimates are larger and, importantly, survive full three-digit occupation fixed effects (relative to up-to-primary: +8.9 for middle/secondary and +18.0 for tertiary; Table 8): within the same occupation, more educated workers gain more from its digital intensity. The machine-learning estimates agree (best linear projection +5.1 and +9.4; group effects −1.3, 2.4 and 6.5; Table 10).</w:t>
      </w:r>
    </w:p>
    <w:p>
      <w:pPr>
        <w:spacing w:after="120" w:line="288"/>
        <w:jc w:val="both"/>
      </w:pPr>
      <w:r>
        <w:rPr>
          <w:rFonts w:ascii="Times New Roman" w:cs="Times New Roman" w:eastAsia="Times New Roman" w:hAnsi="Times New Roman"/>
          <w:i/>
          <w:iCs/>
        </w:rPr>
        <w:t xml:space="preserve">Formality.</w:t>
      </w:r>
      <w:r>
        <w:rPr>
          <w:rFonts w:ascii="Times New Roman" w:cs="Times New Roman" w:eastAsia="Times New Roman" w:hAnsi="Times New Roman"/>
        </w:rPr>
        <w:t xml:space="preserve"> Among regular wage workers, the premium is zero for those without social-security coverage (−0.3) and 5.6 for those with it; the interaction is 11.0 within occupations (Table 8). Casual workers show no premium in any specification.</w:t>
      </w:r>
    </w:p>
    <w:p>
      <w:pPr>
        <w:spacing w:after="120" w:line="288"/>
        <w:jc w:val="both"/>
      </w:pPr>
      <w:r>
        <w:rPr>
          <w:rFonts w:ascii="Times New Roman" w:cs="Times New Roman" w:eastAsia="Times New Roman" w:hAnsi="Times New Roman"/>
          <w:i/>
          <w:iCs/>
        </w:rPr>
        <w:t xml:space="preserve">Gender.</w:t>
      </w:r>
      <w:r>
        <w:rPr>
          <w:rFonts w:ascii="Times New Roman" w:cs="Times New Roman" w:eastAsia="Times New Roman" w:hAnsi="Times New Roman"/>
        </w:rPr>
        <w:t xml:space="preserve"> Women earn a larger premium than men: 8.6 against 3.5 when estimated separately, 8.3 against 3.5 after correcting for selection into wage employment, and a positive within-occupation interaction (+3.2). The machine-learning group effects are 8.6 and 2.2. This mirrors the larger returns to digital skills for women found in Egypt (Sami, 2026). Occupational DTI, however, accounts for essentially none of the 31.7 log-point gender wage gap in the Oaxaca–Blinder decomposition (−0.1 points; Table 7); most of the gap (27.6 points) is unexplained by the characteristics included.</w:t>
      </w:r>
    </w:p>
    <w:p>
      <w:pPr>
        <w:spacing w:after="120" w:line="288"/>
        <w:jc w:val="both"/>
      </w:pPr>
      <w:r>
        <w:rPr>
          <w:rFonts w:ascii="Times New Roman" w:cs="Times New Roman" w:eastAsia="Times New Roman" w:hAnsi="Times New Roman"/>
          <w:i/>
          <w:iCs/>
        </w:rPr>
        <w:t xml:space="preserve">Age.</w:t>
      </w:r>
      <w:r>
        <w:rPr>
          <w:rFonts w:ascii="Times New Roman" w:cs="Times New Roman" w:eastAsia="Times New Roman" w:hAnsi="Times New Roman"/>
        </w:rPr>
        <w:t xml:space="preserve"> The premium increases with age (2.6 for 15–24 to 8.3 for 45–54), suggesting that the returns to working in digitally intensive occupations accumulate with experience.</w:t>
      </w:r>
    </w:p>
    <w:p>
      <w:pPr>
        <w:spacing w:after="120" w:line="288"/>
        <w:jc w:val="both"/>
      </w:pPr>
      <w:r>
        <w:rPr>
          <w:rFonts w:ascii="Times New Roman" w:cs="Times New Roman" w:eastAsia="Times New Roman" w:hAnsi="Times New Roman"/>
          <w:i/>
          <w:iCs/>
        </w:rPr>
        <w:t xml:space="preserve">Rural–urban.</w:t>
      </w:r>
      <w:r>
        <w:rPr>
          <w:rFonts w:ascii="Times New Roman" w:cs="Times New Roman" w:eastAsia="Times New Roman" w:hAnsi="Times New Roman"/>
        </w:rPr>
        <w:t xml:space="preserve"> The evidence is mixed. Within occupations and holding other interactions fixed, the premium is 3.4 points lower for rural workers; estimated separately, and in the machine-learning group effects, it is higher for rural workers (7.8 vs 4.0; 4.9 vs 3.0). The difference comes from how the other characteristics are allowed to vary and will be examined further with the final index.</w:t>
      </w:r>
    </w:p>
    <w:p>
      <w:pPr>
        <w:spacing w:after="120" w:line="288"/>
        <w:jc w:val="both"/>
      </w:pPr>
      <w:r>
        <w:rPr>
          <w:rFonts w:ascii="Times New Roman" w:cs="Times New Roman" w:eastAsia="Times New Roman" w:hAnsi="Times New Roman"/>
          <w:i/>
          <w:iCs/>
        </w:rPr>
        <w:t xml:space="preserve">Summary.</w:t>
      </w:r>
      <w:r>
        <w:rPr>
          <w:rFonts w:ascii="Times New Roman" w:cs="Times New Roman" w:eastAsia="Times New Roman" w:hAnsi="Times New Roman"/>
        </w:rPr>
        <w:t xml:space="preserve"> With the O*NET-transferred measure, the conditional digital occupational premium is modest on average, concentrated at the top of the wage distribution, and absent for workers with little education, in informal regular jobs and in casual work. In the language of the abstract, this points to a </w:t>
      </w:r>
      <w:r>
        <w:rPr>
          <w:rFonts w:ascii="Times New Roman" w:cs="Times New Roman" w:eastAsia="Times New Roman" w:hAnsi="Times New Roman"/>
          <w:b/>
          <w:bCs/>
        </w:rPr>
        <w:t xml:space="preserve">digital-returns gap</w:t>
      </w:r>
      <w:r>
        <w:rPr>
          <w:rFonts w:ascii="Times New Roman" w:cs="Times New Roman" w:eastAsia="Times New Roman" w:hAnsi="Times New Roman"/>
        </w:rPr>
        <w:t xml:space="preserve"> in addition to any digital-skills gap. </w:t>
      </w:r>
      <w:r>
        <w:rPr>
          <w:rFonts w:ascii="Times New Roman" w:cs="Times New Roman" w:eastAsia="Times New Roman" w:hAnsi="Times New Roman"/>
          <w:b/>
          <w:bCs/>
          <w:highlight w:val="yellow"/>
        </w:rPr>
        <w:t xml:space="preserve">[To be confirmed with the NCO-LLM DTI.]</w:t>
      </w:r>
    </w:p>
    <w:p>
      <w:pPr>
        <w:pStyle w:val="Heading2"/>
        <w:spacing w:after="100" w:before="200"/>
      </w:pPr>
      <w:r>
        <w:rPr>
          <w:rFonts w:ascii="Times New Roman" w:cs="Times New Roman" w:eastAsia="Times New Roman" w:hAnsi="Times New Roman"/>
        </w:rPr>
        <w:t xml:space="preserve">Table 6. Premium across the wage distribution (RQ4)</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4"/>
        <w:gridCol w:w="4136"/>
        <w:gridCol w:w="4136"/>
      </w:tblGrid>
      <w:tr>
        <w:trPr>
          <w:tblHeader/>
        </w:trPr>
        <w:tc>
          <w:tcPr>
            <w:tcW w:type="dxa" w:w="1034"/>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Quantile</w:t>
            </w:r>
          </w:p>
        </w:tc>
        <w:tc>
          <w:tcPr>
            <w:tcW w:type="dxa" w:w="4136"/>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Unconditional (RIF)</w:t>
            </w:r>
          </w:p>
        </w:tc>
        <w:tc>
          <w:tcPr>
            <w:tcW w:type="dxa" w:w="4136"/>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Conditional (QR)</w:t>
            </w:r>
          </w:p>
        </w:tc>
      </w:tr>
      <w:tr>
        <w:trPr>
          <w:tblHeader w:val="off"/>
        </w:trPr>
        <w:tc>
          <w:tcPr>
            <w:tcW w:type="dxa" w:w="103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w:t>
            </w:r>
          </w:p>
        </w:tc>
        <w:tc>
          <w:tcPr>
            <w:tcW w:type="dxa" w:w="413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0.016 (0.015)</w:t>
            </w:r>
          </w:p>
        </w:tc>
        <w:tc>
          <w:tcPr>
            <w:tcW w:type="dxa" w:w="413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0.026*** (0.004)</w:t>
            </w:r>
          </w:p>
        </w:tc>
      </w:tr>
      <w:tr>
        <w:trPr>
          <w:tblHeader w:val="off"/>
        </w:trPr>
        <w:tc>
          <w:tcPr>
            <w:tcW w:type="dxa" w:w="103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25</w:t>
            </w:r>
          </w:p>
        </w:tc>
        <w:tc>
          <w:tcPr>
            <w:tcW w:type="dxa" w:w="413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0.018 (0.015)</w:t>
            </w:r>
          </w:p>
        </w:tc>
        <w:tc>
          <w:tcPr>
            <w:tcW w:type="dxa" w:w="413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0.044*** (0.003)</w:t>
            </w:r>
          </w:p>
        </w:tc>
      </w:tr>
      <w:tr>
        <w:trPr>
          <w:tblHeader w:val="off"/>
        </w:trPr>
        <w:tc>
          <w:tcPr>
            <w:tcW w:type="dxa" w:w="103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50</w:t>
            </w:r>
          </w:p>
        </w:tc>
        <w:tc>
          <w:tcPr>
            <w:tcW w:type="dxa" w:w="413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0.036** (0.018)</w:t>
            </w:r>
          </w:p>
        </w:tc>
        <w:tc>
          <w:tcPr>
            <w:tcW w:type="dxa" w:w="413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0.062*** (0.003)</w:t>
            </w:r>
          </w:p>
        </w:tc>
      </w:tr>
      <w:tr>
        <w:trPr>
          <w:tblHeader w:val="off"/>
        </w:trPr>
        <w:tc>
          <w:tcPr>
            <w:tcW w:type="dxa" w:w="103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75</w:t>
            </w:r>
          </w:p>
        </w:tc>
        <w:tc>
          <w:tcPr>
            <w:tcW w:type="dxa" w:w="413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0.078*** (0.023)</w:t>
            </w:r>
          </w:p>
        </w:tc>
        <w:tc>
          <w:tcPr>
            <w:tcW w:type="dxa" w:w="413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0.101*** (0.003)</w:t>
            </w:r>
          </w:p>
        </w:tc>
      </w:tr>
      <w:tr>
        <w:trPr>
          <w:tblHeader w:val="off"/>
        </w:trPr>
        <w:tc>
          <w:tcPr>
            <w:tcW w:type="dxa" w:w="103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90</w:t>
            </w:r>
          </w:p>
        </w:tc>
        <w:tc>
          <w:tcPr>
            <w:tcW w:type="dxa" w:w="413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0.198*** (0.061)</w:t>
            </w:r>
          </w:p>
        </w:tc>
        <w:tc>
          <w:tcPr>
            <w:tcW w:type="dxa" w:w="413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0.121*** (0.004)</w:t>
            </w:r>
          </w:p>
        </w:tc>
      </w:tr>
    </w:tbl>
    <w:p>
      <w:pPr>
        <w:spacing w:after="80"/>
      </w:pPr>
    </w:p>
    <w:p>
      <w:pPr>
        <w:spacing w:after="120" w:line="288"/>
        <w:jc w:val="both"/>
      </w:pPr>
      <w:r>
        <w:rPr>
          <w:rFonts w:ascii="Times New Roman" w:cs="Times New Roman" w:eastAsia="Times New Roman" w:hAnsi="Times New Roman"/>
        </w:rPr>
        <w:t xml:space="preserve">Conditional QR on a 100,000 random subsample with controls, education, year-quarter and division dummies.</w:t>
      </w:r>
    </w:p>
    <w:p>
      <w:pPr>
        <w:pStyle w:val="Heading2"/>
        <w:spacing w:after="100" w:before="200"/>
      </w:pPr>
      <w:r>
        <w:rPr>
          <w:rFonts w:ascii="Times New Roman" w:cs="Times New Roman" w:eastAsia="Times New Roman" w:hAnsi="Times New Roman"/>
        </w:rPr>
        <w:t xml:space="preserve">Table 7. Oaxaca–Blinder decomposition of the gender wage gap</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7"/>
        <w:gridCol w:w="1589"/>
      </w:tblGrid>
      <w:tr>
        <w:trPr>
          <w:tblHeader/>
        </w:trPr>
        <w:tc>
          <w:tcPr>
            <w:tcW w:type="dxa" w:w="7717"/>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Component (men − women)</w:t>
            </w:r>
          </w:p>
        </w:tc>
        <w:tc>
          <w:tcPr>
            <w:tcW w:type="dxa" w:w="1589"/>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Log points</w:t>
            </w:r>
          </w:p>
        </w:tc>
      </w:tr>
      <w:tr>
        <w:trPr>
          <w:tblHeader w:val="off"/>
        </w:trPr>
        <w:tc>
          <w:tcPr>
            <w:tcW w:type="dxa" w:w="771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total gap</w:t>
            </w:r>
          </w:p>
        </w:tc>
        <w:tc>
          <w:tcPr>
            <w:tcW w:type="dxa" w:w="158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0.3165</w:t>
            </w:r>
          </w:p>
        </w:tc>
      </w:tr>
      <w:tr>
        <w:trPr>
          <w:tblHeader w:val="off"/>
        </w:trPr>
        <w:tc>
          <w:tcPr>
            <w:tcW w:type="dxa" w:w="771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explained</w:t>
            </w:r>
          </w:p>
        </w:tc>
        <w:tc>
          <w:tcPr>
            <w:tcW w:type="dxa" w:w="158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0.0409</w:t>
            </w:r>
          </w:p>
        </w:tc>
      </w:tr>
      <w:tr>
        <w:trPr>
          <w:tblHeader w:val="off"/>
        </w:trPr>
        <w:tc>
          <w:tcPr>
            <w:tcW w:type="dxa" w:w="771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unexplained</w:t>
            </w:r>
          </w:p>
        </w:tc>
        <w:tc>
          <w:tcPr>
            <w:tcW w:type="dxa" w:w="158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0.2755</w:t>
            </w:r>
          </w:p>
        </w:tc>
      </w:tr>
      <w:tr>
        <w:trPr>
          <w:tblHeader w:val="off"/>
        </w:trPr>
        <w:tc>
          <w:tcPr>
            <w:tcW w:type="dxa" w:w="771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explained: dti</w:t>
            </w:r>
          </w:p>
        </w:tc>
        <w:tc>
          <w:tcPr>
            <w:tcW w:type="dxa" w:w="158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-0.0009</w:t>
            </w:r>
          </w:p>
        </w:tc>
      </w:tr>
      <w:tr>
        <w:trPr>
          <w:tblHeader w:val="off"/>
        </w:trPr>
        <w:tc>
          <w:tcPr>
            <w:tcW w:type="dxa" w:w="771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explained: age</w:t>
            </w:r>
          </w:p>
        </w:tc>
        <w:tc>
          <w:tcPr>
            <w:tcW w:type="dxa" w:w="158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-0.0195</w:t>
            </w:r>
          </w:p>
        </w:tc>
      </w:tr>
      <w:tr>
        <w:trPr>
          <w:tblHeader w:val="off"/>
        </w:trPr>
        <w:tc>
          <w:tcPr>
            <w:tcW w:type="dxa" w:w="771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explained: demographics</w:t>
            </w:r>
          </w:p>
        </w:tc>
        <w:tc>
          <w:tcPr>
            <w:tcW w:type="dxa" w:w="158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0.0066</w:t>
            </w:r>
          </w:p>
        </w:tc>
      </w:tr>
      <w:tr>
        <w:trPr>
          <w:tblHeader w:val="off"/>
        </w:trPr>
        <w:tc>
          <w:tcPr>
            <w:tcW w:type="dxa" w:w="771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explained: education</w:t>
            </w:r>
          </w:p>
        </w:tc>
        <w:tc>
          <w:tcPr>
            <w:tcW w:type="dxa" w:w="158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0.0134</w:t>
            </w:r>
          </w:p>
        </w:tc>
      </w:tr>
      <w:tr>
        <w:trPr>
          <w:tblHeader w:val="off"/>
        </w:trPr>
        <w:tc>
          <w:tcPr>
            <w:tcW w:type="dxa" w:w="771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explained: social group / religion</w:t>
            </w:r>
          </w:p>
        </w:tc>
        <w:tc>
          <w:tcPr>
            <w:tcW w:type="dxa" w:w="158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0.0048</w:t>
            </w:r>
          </w:p>
        </w:tc>
      </w:tr>
      <w:tr>
        <w:trPr>
          <w:tblHeader w:val="off"/>
        </w:trPr>
        <w:tc>
          <w:tcPr>
            <w:tcW w:type="dxa" w:w="771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explained: state</w:t>
            </w:r>
          </w:p>
        </w:tc>
        <w:tc>
          <w:tcPr>
            <w:tcW w:type="dxa" w:w="158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-0.0271</w:t>
            </w:r>
          </w:p>
        </w:tc>
      </w:tr>
      <w:tr>
        <w:trPr>
          <w:tblHeader w:val="off"/>
        </w:trPr>
        <w:tc>
          <w:tcPr>
            <w:tcW w:type="dxa" w:w="771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explained: industry</w:t>
            </w:r>
          </w:p>
        </w:tc>
        <w:tc>
          <w:tcPr>
            <w:tcW w:type="dxa" w:w="158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0.0686</w:t>
            </w:r>
          </w:p>
        </w:tc>
      </w:tr>
      <w:tr>
        <w:trPr>
          <w:tblHeader w:val="off"/>
        </w:trPr>
        <w:tc>
          <w:tcPr>
            <w:tcW w:type="dxa" w:w="771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explained: time</w:t>
            </w:r>
          </w:p>
        </w:tc>
        <w:tc>
          <w:tcPr>
            <w:tcW w:type="dxa" w:w="158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-0.0045</w:t>
            </w:r>
          </w:p>
        </w:tc>
      </w:tr>
      <w:tr>
        <w:trPr>
          <w:tblHeader w:val="off"/>
        </w:trPr>
        <w:tc>
          <w:tcPr>
            <w:tcW w:type="dxa" w:w="771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explained: occupation division</w:t>
            </w:r>
          </w:p>
        </w:tc>
        <w:tc>
          <w:tcPr>
            <w:tcW w:type="dxa" w:w="158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-0.0003</w:t>
            </w:r>
          </w:p>
        </w:tc>
      </w:tr>
    </w:tbl>
    <w:p>
      <w:pPr>
        <w:spacing w:after="80"/>
      </w:pPr>
    </w:p>
    <w:p>
      <w:pPr>
        <w:pStyle w:val="Heading2"/>
        <w:spacing w:after="100" w:before="200"/>
      </w:pPr>
      <w:r>
        <w:rPr>
          <w:rFonts w:ascii="Times New Roman" w:cs="Times New Roman" w:eastAsia="Times New Roman" w:hAnsi="Times New Roman"/>
        </w:rPr>
        <w:t xml:space="preserve">Table 8. Heterogeneity: DTI × group interactions (RQ4)</w:t>
      </w:r>
    </w:p>
    <w:p>
      <w:pPr>
        <w:spacing w:after="120" w:line="288"/>
        <w:jc w:val="both"/>
      </w:pPr>
      <w:r>
        <w:rPr>
          <w:rFonts w:ascii="Times New Roman" w:cs="Times New Roman" w:eastAsia="Times New Roman" w:hAnsi="Times New Roman"/>
        </w:rPr>
        <w:t xml:space="preserve">Base groups: male, urban, up to primary education, age 25–34, regular employment. Rows under 'occupation FE' identify interactions within 3-digit occupations.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2"/>
        <w:gridCol w:w="3102"/>
        <w:gridCol w:w="1702"/>
      </w:tblGrid>
      <w:tr>
        <w:trPr>
          <w:tblHeader/>
        </w:trPr>
        <w:tc>
          <w:tcPr>
            <w:tcW w:type="dxa" w:w="4502"/>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Specification</w:t>
            </w:r>
          </w:p>
        </w:tc>
        <w:tc>
          <w:tcPr>
            <w:tcW w:type="dxa" w:w="3102"/>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Term</w:t>
            </w:r>
          </w:p>
        </w:tc>
        <w:tc>
          <w:tcPr>
            <w:tcW w:type="dxa" w:w="1702"/>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Coef. (SE)</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-0.090*** (0.023)</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dti_x_female</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0.029** (0.011)</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dti_x_rural</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-0.030*** (0.009)</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dti_x_edu_band_middle_secondary</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0.090*** (0.017)</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dti_x_edu_band_tertiary</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0.177*** (0.024)</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dti_x_age_band_15_24</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-0.084*** (0.009)</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dti_x_age_band_35_44</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0.057*** (0.009)</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dti_x_age_band_45_54</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0.133*** (0.018)</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dti_x_age_band_55_64</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0.169*** (0.028)</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dti_x_emp_type_casual</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0.018 (0.023)</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occupation FE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dti_x_female</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0.032*** (0.010)</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occupation FE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dti_x_rural</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-0.034*** (0.007)</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occupation FE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dti_x_edu_band_middle_secondary</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0.089*** (0.017)</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occupation FE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dti_x_edu_band_tertiary</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0.180*** (0.021)</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occupation FE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dti_x_age_band_15_24</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-0.081*** (0.009)</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occupation FE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dti_x_age_band_35_44</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0.057*** (0.009)</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occupation FE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dti_x_age_band_45_54</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0.128*** (0.017)</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occupation FE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dti_x_age_band_55_64</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0.167*** (0.027)</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occupation FE + interactions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dti_x_emp_type_casual</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-0.002 (0.022)</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 formality interaction (regular)</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dti_std</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-0.033** (0.015)</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M4 + formality interaction (regular)</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dti_x_formal_ss</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0.115*** (0.018)</w:t>
            </w:r>
          </w:p>
        </w:tc>
      </w:tr>
      <w:tr>
        <w:trPr>
          <w:tblHeader w:val="off"/>
        </w:trPr>
        <w:tc>
          <w:tcPr>
            <w:tcW w:type="dxa" w:w="45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occupation FE + formality interaction (regular)</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dti_x_formal_ss</w:t>
            </w:r>
          </w:p>
        </w:tc>
        <w:tc>
          <w:tcPr>
            <w:tcW w:type="dxa" w:w="1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0.110*** (0.020)</w:t>
            </w:r>
          </w:p>
        </w:tc>
      </w:tr>
    </w:tbl>
    <w:p>
      <w:pPr>
        <w:spacing w:after="80"/>
      </w:pPr>
    </w:p>
    <w:p>
      <w:pPr>
        <w:pStyle w:val="Heading2"/>
        <w:spacing w:after="100" w:before="200"/>
      </w:pPr>
      <w:r>
        <w:rPr>
          <w:rFonts w:ascii="Times New Roman" w:cs="Times New Roman" w:eastAsia="Times New Roman" w:hAnsi="Times New Roman"/>
        </w:rPr>
        <w:t xml:space="preserve">Table 9. Premium by subgroup (M4 estimated separately)</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4"/>
        <w:gridCol w:w="3102"/>
        <w:gridCol w:w="3102"/>
        <w:gridCol w:w="1358"/>
      </w:tblGrid>
      <w:tr>
        <w:trPr>
          <w:tblHeader/>
        </w:trPr>
        <w:tc>
          <w:tcPr>
            <w:tcW w:type="dxa" w:w="1744"/>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Group</w:t>
            </w:r>
          </w:p>
        </w:tc>
        <w:tc>
          <w:tcPr>
            <w:tcW w:type="dxa" w:w="3102"/>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Level</w:t>
            </w:r>
          </w:p>
        </w:tc>
        <w:tc>
          <w:tcPr>
            <w:tcW w:type="dxa" w:w="3102"/>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Coef. (SE)</w:t>
            </w:r>
          </w:p>
        </w:tc>
        <w:tc>
          <w:tcPr>
            <w:tcW w:type="dxa" w:w="1358"/>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N</w:t>
            </w:r>
          </w:p>
        </w:tc>
      </w:tr>
      <w:tr>
        <w:trPr>
          <w:tblHeader w:val="off"/>
        </w:trPr>
        <w:tc>
          <w:tcPr>
            <w:tcW w:type="dxa" w:w="174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female</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0.035** (0.014)</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357,770</w:t>
            </w:r>
          </w:p>
        </w:tc>
      </w:tr>
      <w:tr>
        <w:trPr>
          <w:tblHeader w:val="off"/>
        </w:trPr>
        <w:tc>
          <w:tcPr>
            <w:tcW w:type="dxa" w:w="174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female</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0.086*** (0.020)</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108,023</w:t>
            </w:r>
          </w:p>
        </w:tc>
      </w:tr>
      <w:tr>
        <w:trPr>
          <w:tblHeader w:val="off"/>
        </w:trPr>
        <w:tc>
          <w:tcPr>
            <w:tcW w:type="dxa" w:w="174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rural</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0.040*** (0.014)</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234,749</w:t>
            </w:r>
          </w:p>
        </w:tc>
      </w:tr>
      <w:tr>
        <w:trPr>
          <w:tblHeader w:val="off"/>
        </w:trPr>
        <w:tc>
          <w:tcPr>
            <w:tcW w:type="dxa" w:w="174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rural</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0.078*** (0.019)</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231,045</w:t>
            </w:r>
          </w:p>
        </w:tc>
      </w:tr>
      <w:tr>
        <w:trPr>
          <w:tblHeader w:val="off"/>
        </w:trPr>
        <w:tc>
          <w:tcPr>
            <w:tcW w:type="dxa" w:w="174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edu_band</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middle_secondary</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0.048*** (0.015)</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219,206</w:t>
            </w:r>
          </w:p>
        </w:tc>
      </w:tr>
      <w:tr>
        <w:trPr>
          <w:tblHeader w:val="off"/>
        </w:trPr>
        <w:tc>
          <w:tcPr>
            <w:tcW w:type="dxa" w:w="174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edu_band</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tertiary</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0.073*** (0.018)</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106,485</w:t>
            </w:r>
          </w:p>
        </w:tc>
      </w:tr>
      <w:tr>
        <w:trPr>
          <w:tblHeader w:val="off"/>
        </w:trPr>
        <w:tc>
          <w:tcPr>
            <w:tcW w:type="dxa" w:w="174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edu_band</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up_to_primary</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-0.004 (0.023)</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140,103</w:t>
            </w:r>
          </w:p>
        </w:tc>
      </w:tr>
      <w:tr>
        <w:trPr>
          <w:tblHeader w:val="off"/>
        </w:trPr>
        <w:tc>
          <w:tcPr>
            <w:tcW w:type="dxa" w:w="174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age_band</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15-24</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0.026** (0.012)</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64,976</w:t>
            </w:r>
          </w:p>
        </w:tc>
      </w:tr>
      <w:tr>
        <w:trPr>
          <w:tblHeader w:val="off"/>
        </w:trPr>
        <w:tc>
          <w:tcPr>
            <w:tcW w:type="dxa" w:w="174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age_band</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25-34</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0.059*** (0.014)</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137,158</w:t>
            </w:r>
          </w:p>
        </w:tc>
      </w:tr>
      <w:tr>
        <w:trPr>
          <w:tblHeader w:val="off"/>
        </w:trPr>
        <w:tc>
          <w:tcPr>
            <w:tcW w:type="dxa" w:w="174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age_band</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35-44</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0.070*** (0.014)</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129,262</w:t>
            </w:r>
          </w:p>
        </w:tc>
      </w:tr>
      <w:tr>
        <w:trPr>
          <w:tblHeader w:val="off"/>
        </w:trPr>
        <w:tc>
          <w:tcPr>
            <w:tcW w:type="dxa" w:w="174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age_band</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45-54</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0.083*** (0.022)</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94,486</w:t>
            </w:r>
          </w:p>
        </w:tc>
      </w:tr>
      <w:tr>
        <w:trPr>
          <w:tblHeader w:val="off"/>
        </w:trPr>
        <w:tc>
          <w:tcPr>
            <w:tcW w:type="dxa" w:w="174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age_band</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55-64</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0.053 (0.036)</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39,910</w:t>
            </w:r>
          </w:p>
        </w:tc>
      </w:tr>
      <w:tr>
        <w:trPr>
          <w:tblHeader w:val="off"/>
        </w:trPr>
        <w:tc>
          <w:tcPr>
            <w:tcW w:type="dxa" w:w="174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emp_type</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casual</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0.009 (0.018)</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181,657</w:t>
            </w:r>
          </w:p>
        </w:tc>
      </w:tr>
      <w:tr>
        <w:trPr>
          <w:tblHeader w:val="off"/>
        </w:trPr>
        <w:tc>
          <w:tcPr>
            <w:tcW w:type="dxa" w:w="174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emp_type</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regular</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0.050*** (0.015)</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284,136</w:t>
            </w:r>
          </w:p>
        </w:tc>
      </w:tr>
      <w:tr>
        <w:trPr>
          <w:tblHeader w:val="off"/>
        </w:trPr>
        <w:tc>
          <w:tcPr>
            <w:tcW w:type="dxa" w:w="174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formal_ss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-0.003 (0.015)</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154,553</w:t>
            </w:r>
          </w:p>
        </w:tc>
      </w:tr>
      <w:tr>
        <w:trPr>
          <w:tblHeader w:val="off"/>
        </w:trPr>
        <w:tc>
          <w:tcPr>
            <w:tcW w:type="dxa" w:w="174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formal_ss</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w:t>
            </w:r>
          </w:p>
        </w:tc>
        <w:tc>
          <w:tcPr>
            <w:tcW w:type="dxa" w:w="31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0.056*** (0.016)</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129,583</w:t>
            </w:r>
          </w:p>
        </w:tc>
      </w:tr>
    </w:tbl>
    <w:p>
      <w:pPr>
        <w:spacing w:after="80"/>
      </w:pPr>
    </w:p>
    <w:p>
      <w:pPr>
        <w:pStyle w:val="Heading2"/>
        <w:spacing w:after="100" w:before="200"/>
      </w:pPr>
      <w:r>
        <w:rPr>
          <w:rFonts w:ascii="Times New Roman" w:cs="Times New Roman" w:eastAsia="Times New Roman" w:hAnsi="Times New Roman"/>
        </w:rPr>
        <w:t xml:space="preserve">Table 10. Double/debiased machine learning (RQ4)</w:t>
      </w:r>
    </w:p>
    <w:p>
      <w:pPr>
        <w:spacing w:after="120" w:line="288"/>
        <w:jc w:val="both"/>
      </w:pPr>
      <w:r>
        <w:rPr>
          <w:rFonts w:ascii="Times New Roman" w:cs="Times New Roman" w:eastAsia="Times New Roman" w:hAnsi="Times New Roman"/>
        </w:rPr>
        <w:t xml:space="preserve">Average partial effect: 0.036 (SE 0.003), 95% CI [0.030, 0.042], N = 200,000 (random subsample).</w:t>
      </w:r>
    </w:p>
    <w:p>
      <w:pPr>
        <w:spacing w:after="120" w:line="288"/>
        <w:jc w:val="both"/>
      </w:pPr>
      <w:r>
        <w:rPr>
          <w:rFonts w:ascii="Times New Roman" w:cs="Times New Roman" w:eastAsia="Times New Roman" w:hAnsi="Times New Roman"/>
        </w:rPr>
        <w:t xml:space="preserve">Best linear projection of the effect on pre-specified covariates: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30"/>
        <w:gridCol w:w="4276"/>
      </w:tblGrid>
      <w:tr>
        <w:trPr>
          <w:tblHeader/>
        </w:trPr>
        <w:tc>
          <w:tcPr>
            <w:tcW w:type="dxa" w:w="5030"/>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Term</w:t>
            </w:r>
          </w:p>
        </w:tc>
        <w:tc>
          <w:tcPr>
            <w:tcW w:type="dxa" w:w="4276"/>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BLP coef. (SE)</w:t>
            </w:r>
          </w:p>
        </w:tc>
      </w:tr>
      <w:tr>
        <w:trPr>
          <w:tblHeader w:val="off"/>
        </w:trPr>
        <w:tc>
          <w:tcPr>
            <w:tcW w:type="dxa" w:w="50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const</w:t>
            </w:r>
          </w:p>
        </w:tc>
        <w:tc>
          <w:tcPr>
            <w:tcW w:type="dxa" w:w="427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-0.050*** (0.009)</w:t>
            </w:r>
          </w:p>
        </w:tc>
      </w:tr>
      <w:tr>
        <w:trPr>
          <w:tblHeader w:val="off"/>
        </w:trPr>
        <w:tc>
          <w:tcPr>
            <w:tcW w:type="dxa" w:w="50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female</w:t>
            </w:r>
          </w:p>
        </w:tc>
        <w:tc>
          <w:tcPr>
            <w:tcW w:type="dxa" w:w="427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0.063*** (0.008)</w:t>
            </w:r>
          </w:p>
        </w:tc>
      </w:tr>
      <w:tr>
        <w:trPr>
          <w:tblHeader w:val="off"/>
        </w:trPr>
        <w:tc>
          <w:tcPr>
            <w:tcW w:type="dxa" w:w="50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rural</w:t>
            </w:r>
          </w:p>
        </w:tc>
        <w:tc>
          <w:tcPr>
            <w:tcW w:type="dxa" w:w="427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0.027*** (0.007)</w:t>
            </w:r>
          </w:p>
        </w:tc>
      </w:tr>
      <w:tr>
        <w:trPr>
          <w:tblHeader w:val="off"/>
        </w:trPr>
        <w:tc>
          <w:tcPr>
            <w:tcW w:type="dxa" w:w="50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edu_middle_secondary</w:t>
            </w:r>
          </w:p>
        </w:tc>
        <w:tc>
          <w:tcPr>
            <w:tcW w:type="dxa" w:w="427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0.051*** (0.009)</w:t>
            </w:r>
          </w:p>
        </w:tc>
      </w:tr>
      <w:tr>
        <w:trPr>
          <w:tblHeader w:val="off"/>
        </w:trPr>
        <w:tc>
          <w:tcPr>
            <w:tcW w:type="dxa" w:w="50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edu_tertiary</w:t>
            </w:r>
          </w:p>
        </w:tc>
        <w:tc>
          <w:tcPr>
            <w:tcW w:type="dxa" w:w="427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0.094*** (0.009)</w:t>
            </w:r>
          </w:p>
        </w:tc>
      </w:tr>
      <w:tr>
        <w:trPr>
          <w:tblHeader w:val="off"/>
        </w:trPr>
        <w:tc>
          <w:tcPr>
            <w:tcW w:type="dxa" w:w="50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casual</w:t>
            </w:r>
          </w:p>
        </w:tc>
        <w:tc>
          <w:tcPr>
            <w:tcW w:type="dxa" w:w="427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0.008 (0.008)</w:t>
            </w:r>
          </w:p>
        </w:tc>
      </w:tr>
      <w:tr>
        <w:trPr>
          <w:tblHeader w:val="off"/>
        </w:trPr>
        <w:tc>
          <w:tcPr>
            <w:tcW w:type="dxa" w:w="50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age_15_24</w:t>
            </w:r>
          </w:p>
        </w:tc>
        <w:tc>
          <w:tcPr>
            <w:tcW w:type="dxa" w:w="427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-0.040*** (0.008)</w:t>
            </w:r>
          </w:p>
        </w:tc>
      </w:tr>
      <w:tr>
        <w:trPr>
          <w:tblHeader w:val="off"/>
        </w:trPr>
        <w:tc>
          <w:tcPr>
            <w:tcW w:type="dxa" w:w="50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age_45_64</w:t>
            </w:r>
          </w:p>
        </w:tc>
        <w:tc>
          <w:tcPr>
            <w:tcW w:type="dxa" w:w="427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0.023*** (0.007)</w:t>
            </w:r>
          </w:p>
        </w:tc>
      </w:tr>
    </w:tbl>
    <w:p>
      <w:pPr>
        <w:spacing w:after="80"/>
      </w:pPr>
    </w:p>
    <w:p>
      <w:pPr>
        <w:spacing w:after="120" w:line="288"/>
        <w:jc w:val="both"/>
      </w:pPr>
      <w:r>
        <w:rPr>
          <w:rFonts w:ascii="Times New Roman" w:cs="Times New Roman" w:eastAsia="Times New Roman" w:hAnsi="Times New Roman"/>
        </w:rPr>
        <w:t xml:space="preserve">Group average effects: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0"/>
        <w:gridCol w:w="3813"/>
        <w:gridCol w:w="915"/>
        <w:gridCol w:w="2288"/>
        <w:gridCol w:w="1070"/>
      </w:tblGrid>
      <w:tr>
        <w:trPr>
          <w:tblHeader/>
        </w:trPr>
        <w:tc>
          <w:tcPr>
            <w:tcW w:type="dxa" w:w="1220"/>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Dimension</w:t>
            </w:r>
          </w:p>
        </w:tc>
        <w:tc>
          <w:tcPr>
            <w:tcW w:type="dxa" w:w="3813"/>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Group</w:t>
            </w:r>
          </w:p>
        </w:tc>
        <w:tc>
          <w:tcPr>
            <w:tcW w:type="dxa" w:w="915"/>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Effect</w:t>
            </w:r>
          </w:p>
        </w:tc>
        <w:tc>
          <w:tcPr>
            <w:tcW w:type="dxa" w:w="2288"/>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95% CI</w:t>
            </w:r>
          </w:p>
        </w:tc>
        <w:tc>
          <w:tcPr>
            <w:tcW w:type="dxa" w:w="1070"/>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N</w:t>
            </w:r>
          </w:p>
        </w:tc>
      </w:tr>
      <w:tr>
        <w:trPr>
          <w:tblHeader w:val="off"/>
        </w:trPr>
        <w:tc>
          <w:tcPr>
            <w:tcW w:type="dxa" w:w="122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female</w:t>
            </w:r>
          </w:p>
        </w:tc>
        <w:tc>
          <w:tcPr>
            <w:tcW w:type="dxa" w:w="381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female=0</w:t>
            </w:r>
          </w:p>
        </w:tc>
        <w:tc>
          <w:tcPr>
            <w:tcW w:type="dxa" w:w="91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0.022</w:t>
            </w:r>
          </w:p>
        </w:tc>
        <w:tc>
          <w:tcPr>
            <w:tcW w:type="dxa" w:w="22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[0.016, 0.028]</w:t>
            </w:r>
          </w:p>
        </w:tc>
        <w:tc>
          <w:tcPr>
            <w:tcW w:type="dxa" w:w="10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153,685</w:t>
            </w:r>
          </w:p>
        </w:tc>
      </w:tr>
      <w:tr>
        <w:trPr>
          <w:tblHeader w:val="off"/>
        </w:trPr>
        <w:tc>
          <w:tcPr>
            <w:tcW w:type="dxa" w:w="122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female</w:t>
            </w:r>
          </w:p>
        </w:tc>
        <w:tc>
          <w:tcPr>
            <w:tcW w:type="dxa" w:w="381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female=1</w:t>
            </w:r>
          </w:p>
        </w:tc>
        <w:tc>
          <w:tcPr>
            <w:tcW w:type="dxa" w:w="91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0.086</w:t>
            </w:r>
          </w:p>
        </w:tc>
        <w:tc>
          <w:tcPr>
            <w:tcW w:type="dxa" w:w="22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[0.072, 0.101]</w:t>
            </w:r>
          </w:p>
        </w:tc>
        <w:tc>
          <w:tcPr>
            <w:tcW w:type="dxa" w:w="10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46,315</w:t>
            </w:r>
          </w:p>
        </w:tc>
      </w:tr>
      <w:tr>
        <w:trPr>
          <w:tblHeader w:val="off"/>
        </w:trPr>
        <w:tc>
          <w:tcPr>
            <w:tcW w:type="dxa" w:w="122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rural</w:t>
            </w:r>
          </w:p>
        </w:tc>
        <w:tc>
          <w:tcPr>
            <w:tcW w:type="dxa" w:w="381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rural=0</w:t>
            </w:r>
          </w:p>
        </w:tc>
        <w:tc>
          <w:tcPr>
            <w:tcW w:type="dxa" w:w="91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0.03</w:t>
            </w:r>
          </w:p>
        </w:tc>
        <w:tc>
          <w:tcPr>
            <w:tcW w:type="dxa" w:w="22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[0.023, 0.037]</w:t>
            </w:r>
          </w:p>
        </w:tc>
        <w:tc>
          <w:tcPr>
            <w:tcW w:type="dxa" w:w="10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100,724</w:t>
            </w:r>
          </w:p>
        </w:tc>
      </w:tr>
      <w:tr>
        <w:trPr>
          <w:tblHeader w:val="off"/>
        </w:trPr>
        <w:tc>
          <w:tcPr>
            <w:tcW w:type="dxa" w:w="122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rural</w:t>
            </w:r>
          </w:p>
        </w:tc>
        <w:tc>
          <w:tcPr>
            <w:tcW w:type="dxa" w:w="381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rural=1</w:t>
            </w:r>
          </w:p>
        </w:tc>
        <w:tc>
          <w:tcPr>
            <w:tcW w:type="dxa" w:w="91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0.049</w:t>
            </w:r>
          </w:p>
        </w:tc>
        <w:tc>
          <w:tcPr>
            <w:tcW w:type="dxa" w:w="22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[0.038, 0.059]</w:t>
            </w:r>
          </w:p>
        </w:tc>
        <w:tc>
          <w:tcPr>
            <w:tcW w:type="dxa" w:w="10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99,276</w:t>
            </w:r>
          </w:p>
        </w:tc>
      </w:tr>
      <w:tr>
        <w:trPr>
          <w:tblHeader w:val="off"/>
        </w:trPr>
        <w:tc>
          <w:tcPr>
            <w:tcW w:type="dxa" w:w="122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edu_band</w:t>
            </w:r>
          </w:p>
        </w:tc>
        <w:tc>
          <w:tcPr>
            <w:tcW w:type="dxa" w:w="381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edu_band=middle_secondary</w:t>
            </w:r>
          </w:p>
        </w:tc>
        <w:tc>
          <w:tcPr>
            <w:tcW w:type="dxa" w:w="91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0.024</w:t>
            </w:r>
          </w:p>
        </w:tc>
        <w:tc>
          <w:tcPr>
            <w:tcW w:type="dxa" w:w="22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[0.016, 0.032]</w:t>
            </w:r>
          </w:p>
        </w:tc>
        <w:tc>
          <w:tcPr>
            <w:tcW w:type="dxa" w:w="10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94,340</w:t>
            </w:r>
          </w:p>
        </w:tc>
      </w:tr>
      <w:tr>
        <w:trPr>
          <w:tblHeader w:val="off"/>
        </w:trPr>
        <w:tc>
          <w:tcPr>
            <w:tcW w:type="dxa" w:w="122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edu_band</w:t>
            </w:r>
          </w:p>
        </w:tc>
        <w:tc>
          <w:tcPr>
            <w:tcW w:type="dxa" w:w="381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edu_band=tertiary</w:t>
            </w:r>
          </w:p>
        </w:tc>
        <w:tc>
          <w:tcPr>
            <w:tcW w:type="dxa" w:w="91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0.065</w:t>
            </w:r>
          </w:p>
        </w:tc>
        <w:tc>
          <w:tcPr>
            <w:tcW w:type="dxa" w:w="22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[0.055, 0.074]</w:t>
            </w:r>
          </w:p>
        </w:tc>
        <w:tc>
          <w:tcPr>
            <w:tcW w:type="dxa" w:w="10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45,464</w:t>
            </w:r>
          </w:p>
        </w:tc>
      </w:tr>
      <w:tr>
        <w:trPr>
          <w:tblHeader w:val="off"/>
        </w:trPr>
        <w:tc>
          <w:tcPr>
            <w:tcW w:type="dxa" w:w="122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edu_band</w:t>
            </w:r>
          </w:p>
        </w:tc>
        <w:tc>
          <w:tcPr>
            <w:tcW w:type="dxa" w:w="381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edu_band=up_to_primary</w:t>
            </w:r>
          </w:p>
        </w:tc>
        <w:tc>
          <w:tcPr>
            <w:tcW w:type="dxa" w:w="91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-0.013</w:t>
            </w:r>
          </w:p>
        </w:tc>
        <w:tc>
          <w:tcPr>
            <w:tcW w:type="dxa" w:w="22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[-0.028, 0.001]</w:t>
            </w:r>
          </w:p>
        </w:tc>
        <w:tc>
          <w:tcPr>
            <w:tcW w:type="dxa" w:w="10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60,183</w:t>
            </w:r>
          </w:p>
        </w:tc>
      </w:tr>
      <w:tr>
        <w:trPr>
          <w:tblHeader w:val="off"/>
        </w:trPr>
        <w:tc>
          <w:tcPr>
            <w:tcW w:type="dxa" w:w="122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emp_type</w:t>
            </w:r>
          </w:p>
        </w:tc>
        <w:tc>
          <w:tcPr>
            <w:tcW w:type="dxa" w:w="381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emp_type=casual</w:t>
            </w:r>
          </w:p>
        </w:tc>
        <w:tc>
          <w:tcPr>
            <w:tcW w:type="dxa" w:w="91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0.016</w:t>
            </w:r>
          </w:p>
        </w:tc>
        <w:tc>
          <w:tcPr>
            <w:tcW w:type="dxa" w:w="22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[0.004, 0.028]</w:t>
            </w:r>
          </w:p>
        </w:tc>
        <w:tc>
          <w:tcPr>
            <w:tcW w:type="dxa" w:w="10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78,146</w:t>
            </w:r>
          </w:p>
        </w:tc>
      </w:tr>
      <w:tr>
        <w:trPr>
          <w:tblHeader w:val="off"/>
        </w:trPr>
        <w:tc>
          <w:tcPr>
            <w:tcW w:type="dxa" w:w="122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emp_type</w:t>
            </w:r>
          </w:p>
        </w:tc>
        <w:tc>
          <w:tcPr>
            <w:tcW w:type="dxa" w:w="381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emp_type=regular</w:t>
            </w:r>
          </w:p>
        </w:tc>
        <w:tc>
          <w:tcPr>
            <w:tcW w:type="dxa" w:w="91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0.038</w:t>
            </w:r>
          </w:p>
        </w:tc>
        <w:tc>
          <w:tcPr>
            <w:tcW w:type="dxa" w:w="22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[0.032, 0.045]</w:t>
            </w:r>
          </w:p>
        </w:tc>
        <w:tc>
          <w:tcPr>
            <w:tcW w:type="dxa" w:w="10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121,854</w:t>
            </w:r>
          </w:p>
        </w:tc>
      </w:tr>
    </w:tbl>
    <w:p>
      <w:pPr>
        <w:spacing w:after="80"/>
      </w:pPr>
    </w:p>
    <w:p>
      <w:pPr>
        <w:spacing w:after="120" w:line="288"/>
        <w:jc w:val="both"/>
      </w:pPr>
      <w:r>
        <w:rPr>
          <w:rFonts w:ascii="Times New Roman" w:cs="Times New Roman" w:eastAsia="Times New Roman" w:hAnsi="Times New Roman"/>
        </w:rPr>
        <w:t xml:space="preserve">Standard errors in this table treat workers as independent; Table 11 gives the average effect with standard errors clustered by occupation.</w:t>
      </w:r>
    </w:p>
    <w:p>
      <w:pPr>
        <w:pStyle w:val="Heading1"/>
        <w:spacing w:after="120" w:before="280"/>
      </w:pPr>
      <w:r>
        <w:rPr>
          <w:rFonts w:ascii="Times New Roman" w:cs="Times New Roman" w:eastAsia="Times New Roman" w:hAnsi="Times New Roman"/>
        </w:rPr>
        <w:t xml:space="preserve">7. Discussion and policy relevance</w:t>
      </w:r>
    </w:p>
    <w:p>
      <w:pPr>
        <w:spacing w:after="120" w:line="288"/>
        <w:jc w:val="both"/>
      </w:pPr>
      <w:r>
        <w:rPr>
          <w:rFonts w:ascii="Times New Roman" w:cs="Times New Roman" w:eastAsia="Times New Roman" w:hAnsi="Times New Roman"/>
        </w:rPr>
        <w:t xml:space="preserve">A DTI index gives policymakers a more granular picture of India's digital labour market than classifications based on education, occupation or industry alone. Identifying occupations with high and low digital-task intensity can inform digital-skilling programmes, vocational curricula and workforce-transition strategies. More importantly, identifying groups for whom occupational digitalisation does not translate into commensurate labour-market gains helps distinguish a </w:t>
      </w:r>
      <w:r>
        <w:rPr>
          <w:rFonts w:ascii="Times New Roman" w:cs="Times New Roman" w:eastAsia="Times New Roman" w:hAnsi="Times New Roman"/>
          <w:i/>
          <w:iCs/>
        </w:rPr>
        <w:t xml:space="preserve">digital-skills gap</w:t>
      </w:r>
      <w:r>
        <w:rPr>
          <w:rFonts w:ascii="Times New Roman" w:cs="Times New Roman" w:eastAsia="Times New Roman" w:hAnsi="Times New Roman"/>
        </w:rPr>
        <w:t xml:space="preserve"> from a broader </w:t>
      </w:r>
      <w:r>
        <w:rPr>
          <w:rFonts w:ascii="Times New Roman" w:cs="Times New Roman" w:eastAsia="Times New Roman" w:hAnsi="Times New Roman"/>
          <w:i/>
          <w:iCs/>
        </w:rPr>
        <w:t xml:space="preserve">digital-returns gap</w:t>
      </w:r>
      <w:r>
        <w:rPr>
          <w:rFonts w:ascii="Times New Roman" w:cs="Times New Roman" w:eastAsia="Times New Roman" w:hAnsi="Times New Roman"/>
        </w:rPr>
        <w:t xml:space="preserve">. If the premium differs by education or formality, expanding access to basic digital training may be insufficient; complementary investment in advanced skills, certification, formalisation and access to digitally enabled firms may be required. Rural–urban or gender differences would indicate that the benefits of digitalisation depend on institutional and labour-market conditions beyond occupational digital requirements themselves. </w:t>
      </w:r>
      <w:r>
        <w:rPr>
          <w:rFonts w:ascii="Times New Roman" w:cs="Times New Roman" w:eastAsia="Times New Roman" w:hAnsi="Times New Roman"/>
          <w:b/>
          <w:bCs/>
          <w:highlight w:val="yellow"/>
        </w:rPr>
        <w:t xml:space="preserve">[Final wording to follow the results.]</w:t>
      </w:r>
    </w:p>
    <w:p>
      <w:pPr>
        <w:pStyle w:val="Heading1"/>
        <w:spacing w:after="120" w:before="280"/>
      </w:pPr>
      <w:r>
        <w:rPr>
          <w:rFonts w:ascii="Times New Roman" w:cs="Times New Roman" w:eastAsia="Times New Roman" w:hAnsi="Times New Roman"/>
        </w:rPr>
        <w:t xml:space="preserve">8. Limitations</w:t>
      </w:r>
    </w:p>
    <w:p>
      <w:pPr>
        <w:spacing w:after="120" w:line="288"/>
        <w:jc w:val="both"/>
      </w:pPr>
      <w:r>
        <w:rPr>
          <w:rFonts w:ascii="Times New Roman" w:cs="Times New Roman" w:eastAsia="Times New Roman" w:hAnsi="Times New Roman"/>
        </w:rPr>
        <w:t xml:space="preserve">The DTI measures digital content as described in the 2015 classification, which may understate current practice; the coder item on whether an occupation is more digital today than its description suggests, and the described-task reading, address this. Occupation is observed at three digits in PLFS, so within-group variation in digital intensity is not used. The premium is a conditional association, not a causal effect. LLM scores carry model-dependent measurement error, which the stability, cross-model and human checks quantify but cannot remove.</w:t>
      </w:r>
    </w:p>
    <w:p>
      <w:pPr>
        <w:pStyle w:val="Heading1"/>
        <w:spacing w:after="120" w:before="280"/>
      </w:pPr>
      <w:r>
        <w:rPr>
          <w:rFonts w:ascii="Times New Roman" w:cs="Times New Roman" w:eastAsia="Times New Roman" w:hAnsi="Times New Roman"/>
        </w:rPr>
        <w:t xml:space="preserve">9. Conclusion</w:t>
      </w:r>
    </w:p>
    <w:p>
      <w:pPr>
        <w:spacing w:after="120" w:line="288"/>
        <w:jc w:val="both"/>
      </w:pPr>
      <w:r>
        <w:rPr>
          <w:rFonts w:ascii="Times New Roman" w:cs="Times New Roman" w:eastAsia="Times New Roman" w:hAnsi="Times New Roman"/>
          <w:b/>
          <w:bCs/>
          <w:highlight w:val="yellow"/>
        </w:rPr>
        <w:t xml:space="preserve">[To be written with the final results.]</w:t>
      </w:r>
      <w:r>
        <w:rPr>
          <w:rFonts w:ascii="Times New Roman" w:cs="Times New Roman" w:eastAsia="Times New Roman" w:hAnsi="Times New Roman"/>
        </w:rPr>
        <w:t xml:space="preserve"> Indian labour-market surveys record who works, where, in what occupation and for what pay, but little about the digital content of work. This study bridges that gap by combining official occupational descriptions, large language models and PLFS microdata. Its central claim is that AI can advance labour-market research not only by predicting outcomes but by measuring economically important constructs that are otherwise hard to observe.</w:t>
      </w:r>
    </w:p>
    <w:p>
      <w:pPr>
        <w:pStyle w:val="Heading1"/>
        <w:spacing w:after="120" w:before="280"/>
      </w:pPr>
      <w:r>
        <w:rPr>
          <w:rFonts w:ascii="Times New Roman" w:cs="Times New Roman" w:eastAsia="Times New Roman" w:hAnsi="Times New Roman"/>
        </w:rPr>
        <w:t xml:space="preserve">References</w:t>
      </w:r>
    </w:p>
    <w:p>
      <w:pPr>
        <w:pStyle w:val="ListParagraph"/>
        <w:numPr>
          <w:ilvl w:val="0"/>
          <w:numId w:val="2"/>
        </w:numPr>
        <w:spacing w:after="60" w:line="276"/>
      </w:pPr>
      <w:r>
        <w:rPr>
          <w:rFonts w:ascii="Times New Roman" w:cs="Times New Roman" w:eastAsia="Times New Roman" w:hAnsi="Times New Roman"/>
        </w:rPr>
        <w:t xml:space="preserve">Acemoglu, D. and Autor, D. (2011). Skills, tasks and technologies: Implications for employment and earnings. </w:t>
      </w:r>
      <w:r>
        <w:rPr>
          <w:rFonts w:ascii="Times New Roman" w:cs="Times New Roman" w:eastAsia="Times New Roman" w:hAnsi="Times New Roman"/>
          <w:i/>
          <w:iCs/>
        </w:rPr>
        <w:t xml:space="preserve">Handbook of Labor Economics</w:t>
      </w:r>
      <w:r>
        <w:rPr>
          <w:rFonts w:ascii="Times New Roman" w:cs="Times New Roman" w:eastAsia="Times New Roman" w:hAnsi="Times New Roman"/>
        </w:rPr>
        <w:t xml:space="preserve">, 4B, 1043–1171.</w:t>
      </w:r>
    </w:p>
    <w:p>
      <w:pPr>
        <w:pStyle w:val="ListParagraph"/>
        <w:numPr>
          <w:ilvl w:val="0"/>
          <w:numId w:val="2"/>
        </w:numPr>
        <w:spacing w:after="60" w:line="276"/>
      </w:pPr>
      <w:r>
        <w:rPr>
          <w:rFonts w:ascii="Times New Roman" w:cs="Times New Roman" w:eastAsia="Times New Roman" w:hAnsi="Times New Roman"/>
        </w:rPr>
        <w:t xml:space="preserve">Adrjan, P., Aoki, Y., Ciminelli, G., Döttling, R. and Garcia-Mandicó, S. (2026). Skills that pay: Digital skills demand and wage premia in Asia and the Pacific. ADB Economics Working Paper 850.</w:t>
      </w:r>
    </w:p>
    <w:p>
      <w:pPr>
        <w:pStyle w:val="ListParagraph"/>
        <w:numPr>
          <w:ilvl w:val="0"/>
          <w:numId w:val="2"/>
        </w:numPr>
        <w:spacing w:after="60" w:line="276"/>
      </w:pPr>
      <w:r>
        <w:rPr>
          <w:rFonts w:ascii="Times New Roman" w:cs="Times New Roman" w:eastAsia="Times New Roman" w:hAnsi="Times New Roman"/>
        </w:rPr>
        <w:t xml:space="preserve">Athey, S., Tibshirani, J. and Wager, S. (2019). Generalized random forests. </w:t>
      </w:r>
      <w:r>
        <w:rPr>
          <w:rFonts w:ascii="Times New Roman" w:cs="Times New Roman" w:eastAsia="Times New Roman" w:hAnsi="Times New Roman"/>
          <w:i/>
          <w:iCs/>
        </w:rPr>
        <w:t xml:space="preserve">Annals of Statistics</w:t>
      </w:r>
      <w:r>
        <w:rPr>
          <w:rFonts w:ascii="Times New Roman" w:cs="Times New Roman" w:eastAsia="Times New Roman" w:hAnsi="Times New Roman"/>
        </w:rPr>
        <w:t xml:space="preserve">, 47(2), 1148–1178.</w:t>
      </w:r>
    </w:p>
    <w:p>
      <w:pPr>
        <w:pStyle w:val="ListParagraph"/>
        <w:numPr>
          <w:ilvl w:val="0"/>
          <w:numId w:val="2"/>
        </w:numPr>
        <w:spacing w:after="60" w:line="276"/>
      </w:pPr>
      <w:r>
        <w:rPr>
          <w:rFonts w:ascii="Times New Roman" w:cs="Times New Roman" w:eastAsia="Times New Roman" w:hAnsi="Times New Roman"/>
        </w:rPr>
        <w:t xml:space="preserve">Autor, D., Levy, F. and Murnane, R. (2003). The skill content of recent technological change. </w:t>
      </w:r>
      <w:r>
        <w:rPr>
          <w:rFonts w:ascii="Times New Roman" w:cs="Times New Roman" w:eastAsia="Times New Roman" w:hAnsi="Times New Roman"/>
          <w:i/>
          <w:iCs/>
        </w:rPr>
        <w:t xml:space="preserve">Quarterly Journal of Economics</w:t>
      </w:r>
      <w:r>
        <w:rPr>
          <w:rFonts w:ascii="Times New Roman" w:cs="Times New Roman" w:eastAsia="Times New Roman" w:hAnsi="Times New Roman"/>
        </w:rPr>
        <w:t xml:space="preserve">, 118(4), 1279–1333.</w:t>
      </w:r>
    </w:p>
    <w:p>
      <w:pPr>
        <w:pStyle w:val="ListParagraph"/>
        <w:numPr>
          <w:ilvl w:val="0"/>
          <w:numId w:val="2"/>
        </w:numPr>
        <w:spacing w:after="60" w:line="276"/>
      </w:pPr>
      <w:r>
        <w:rPr>
          <w:rFonts w:ascii="Times New Roman" w:cs="Times New Roman" w:eastAsia="Times New Roman" w:hAnsi="Times New Roman"/>
        </w:rPr>
        <w:t xml:space="preserve">Chernozhukov, V., Chetverikov, D., Demirer, M., Duflo, E., Hansen, C., Newey, W. and Robins, J. (2018). Double/debiased machine learning for treatment and structural parameters. </w:t>
      </w:r>
      <w:r>
        <w:rPr>
          <w:rFonts w:ascii="Times New Roman" w:cs="Times New Roman" w:eastAsia="Times New Roman" w:hAnsi="Times New Roman"/>
          <w:i/>
          <w:iCs/>
        </w:rPr>
        <w:t xml:space="preserve">Econometrics Journal</w:t>
      </w:r>
      <w:r>
        <w:rPr>
          <w:rFonts w:ascii="Times New Roman" w:cs="Times New Roman" w:eastAsia="Times New Roman" w:hAnsi="Times New Roman"/>
        </w:rPr>
        <w:t xml:space="preserve">, 21(1), C1–C68.</w:t>
      </w:r>
    </w:p>
    <w:p>
      <w:pPr>
        <w:pStyle w:val="ListParagraph"/>
        <w:numPr>
          <w:ilvl w:val="0"/>
          <w:numId w:val="2"/>
        </w:numPr>
        <w:spacing w:after="60" w:line="276"/>
      </w:pPr>
      <w:r>
        <w:rPr>
          <w:rFonts w:ascii="Times New Roman" w:cs="Times New Roman" w:eastAsia="Times New Roman" w:hAnsi="Times New Roman"/>
        </w:rPr>
        <w:t xml:space="preserve">Cirillo, V., Evangelista, R., Guarascio, D. and Sostero, M. (2021). Digitalization, routineness and employment: An exploration on Italian task-based data. </w:t>
      </w:r>
      <w:r>
        <w:rPr>
          <w:rFonts w:ascii="Times New Roman" w:cs="Times New Roman" w:eastAsia="Times New Roman" w:hAnsi="Times New Roman"/>
          <w:i/>
          <w:iCs/>
        </w:rPr>
        <w:t xml:space="preserve">Research Policy</w:t>
      </w:r>
      <w:r>
        <w:rPr>
          <w:rFonts w:ascii="Times New Roman" w:cs="Times New Roman" w:eastAsia="Times New Roman" w:hAnsi="Times New Roman"/>
        </w:rPr>
        <w:t xml:space="preserve">, 50, 104079.</w:t>
      </w:r>
    </w:p>
    <w:p>
      <w:pPr>
        <w:pStyle w:val="ListParagraph"/>
        <w:numPr>
          <w:ilvl w:val="0"/>
          <w:numId w:val="2"/>
        </w:numPr>
        <w:spacing w:after="60" w:line="276"/>
      </w:pPr>
      <w:r>
        <w:rPr>
          <w:rFonts w:ascii="Times New Roman" w:cs="Times New Roman" w:eastAsia="Times New Roman" w:hAnsi="Times New Roman"/>
        </w:rPr>
        <w:t xml:space="preserve">Eloundou, T., Manning, S., Mishkin, P. and Rock, D. (2024). GPTs are GPTs: Labor market impact potential of LLMs. </w:t>
      </w:r>
      <w:r>
        <w:rPr>
          <w:rFonts w:ascii="Times New Roman" w:cs="Times New Roman" w:eastAsia="Times New Roman" w:hAnsi="Times New Roman"/>
          <w:i/>
          <w:iCs/>
        </w:rPr>
        <w:t xml:space="preserve">Science</w:t>
      </w:r>
      <w:r>
        <w:rPr>
          <w:rFonts w:ascii="Times New Roman" w:cs="Times New Roman" w:eastAsia="Times New Roman" w:hAnsi="Times New Roman"/>
        </w:rPr>
        <w:t xml:space="preserve">, 384(6702), 1306–1308.</w:t>
      </w:r>
    </w:p>
    <w:p>
      <w:pPr>
        <w:pStyle w:val="ListParagraph"/>
        <w:numPr>
          <w:ilvl w:val="0"/>
          <w:numId w:val="2"/>
        </w:numPr>
        <w:spacing w:after="60" w:line="276"/>
      </w:pPr>
      <w:r>
        <w:rPr>
          <w:rFonts w:ascii="Times New Roman" w:cs="Times New Roman" w:eastAsia="Times New Roman" w:hAnsi="Times New Roman"/>
        </w:rPr>
        <w:t xml:space="preserve">Firpo, S., Fortin, N. and Lemieux, T. (2009). Unconditional quantile regressions.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77(3), 953–973.</w:t>
      </w:r>
    </w:p>
    <w:p>
      <w:pPr>
        <w:pStyle w:val="ListParagraph"/>
        <w:numPr>
          <w:ilvl w:val="0"/>
          <w:numId w:val="2"/>
        </w:numPr>
        <w:spacing w:after="60" w:line="276"/>
      </w:pPr>
      <w:r>
        <w:rPr>
          <w:rFonts w:ascii="Times New Roman" w:cs="Times New Roman" w:eastAsia="Times New Roman" w:hAnsi="Times New Roman"/>
        </w:rPr>
        <w:t xml:space="preserve">Heckman, J. (1979). Sample selection bias as a specification error.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47(1), 153–161.</w:t>
      </w:r>
    </w:p>
    <w:p>
      <w:pPr>
        <w:pStyle w:val="ListParagraph"/>
        <w:numPr>
          <w:ilvl w:val="0"/>
          <w:numId w:val="2"/>
        </w:numPr>
        <w:spacing w:after="60" w:line="276"/>
      </w:pPr>
      <w:r>
        <w:rPr>
          <w:rFonts w:ascii="Times New Roman" w:cs="Times New Roman" w:eastAsia="Times New Roman" w:hAnsi="Times New Roman"/>
        </w:rPr>
        <w:t xml:space="preserve">Krippendorff, K. (2004). </w:t>
      </w:r>
      <w:r>
        <w:rPr>
          <w:rFonts w:ascii="Times New Roman" w:cs="Times New Roman" w:eastAsia="Times New Roman" w:hAnsi="Times New Roman"/>
          <w:i/>
          <w:iCs/>
        </w:rPr>
        <w:t xml:space="preserve">Content Analysis: An Introduction to Its Methodology</w:t>
      </w:r>
      <w:r>
        <w:rPr>
          <w:rFonts w:ascii="Times New Roman" w:cs="Times New Roman" w:eastAsia="Times New Roman" w:hAnsi="Times New Roman"/>
        </w:rPr>
        <w:t xml:space="preserve">. Sage.</w:t>
      </w:r>
    </w:p>
    <w:p>
      <w:pPr>
        <w:pStyle w:val="ListParagraph"/>
        <w:numPr>
          <w:ilvl w:val="0"/>
          <w:numId w:val="2"/>
        </w:numPr>
        <w:spacing w:after="60" w:line="276"/>
      </w:pPr>
      <w:r>
        <w:rPr>
          <w:rFonts w:ascii="Times New Roman" w:cs="Times New Roman" w:eastAsia="Times New Roman" w:hAnsi="Times New Roman"/>
        </w:rPr>
        <w:t xml:space="preserve">Muro, M., Liu, S., Whiton, J. and Kulkarni, S. (2017). </w:t>
      </w:r>
      <w:r>
        <w:rPr>
          <w:rFonts w:ascii="Times New Roman" w:cs="Times New Roman" w:eastAsia="Times New Roman" w:hAnsi="Times New Roman"/>
          <w:i/>
          <w:iCs/>
        </w:rPr>
        <w:t xml:space="preserve">Digitalization and the American Workforce</w:t>
      </w:r>
      <w:r>
        <w:rPr>
          <w:rFonts w:ascii="Times New Roman" w:cs="Times New Roman" w:eastAsia="Times New Roman" w:hAnsi="Times New Roman"/>
        </w:rPr>
        <w:t xml:space="preserve">. Brookings Institution.</w:t>
      </w:r>
    </w:p>
    <w:p>
      <w:pPr>
        <w:pStyle w:val="ListParagraph"/>
        <w:numPr>
          <w:ilvl w:val="0"/>
          <w:numId w:val="2"/>
        </w:numPr>
        <w:spacing w:after="60" w:line="276"/>
      </w:pPr>
      <w:r>
        <w:rPr>
          <w:rFonts w:ascii="Times New Roman" w:cs="Times New Roman" w:eastAsia="Times New Roman" w:hAnsi="Times New Roman"/>
        </w:rPr>
        <w:t xml:space="preserve">Oaxaca, R. (1973). Male–female wage differentials in urban labor markets. </w:t>
      </w:r>
      <w:r>
        <w:rPr>
          <w:rFonts w:ascii="Times New Roman" w:cs="Times New Roman" w:eastAsia="Times New Roman" w:hAnsi="Times New Roman"/>
          <w:i/>
          <w:iCs/>
        </w:rPr>
        <w:t xml:space="preserve">International Economic Review</w:t>
      </w:r>
      <w:r>
        <w:rPr>
          <w:rFonts w:ascii="Times New Roman" w:cs="Times New Roman" w:eastAsia="Times New Roman" w:hAnsi="Times New Roman"/>
        </w:rPr>
        <w:t xml:space="preserve">, 14(3), 693–709.</w:t>
      </w:r>
    </w:p>
    <w:p>
      <w:pPr>
        <w:pStyle w:val="ListParagraph"/>
        <w:numPr>
          <w:ilvl w:val="0"/>
          <w:numId w:val="2"/>
        </w:numPr>
        <w:spacing w:after="60" w:line="276"/>
      </w:pPr>
      <w:r>
        <w:rPr>
          <w:rFonts w:ascii="Times New Roman" w:cs="Times New Roman" w:eastAsia="Times New Roman" w:hAnsi="Times New Roman"/>
        </w:rPr>
        <w:t xml:space="preserve">Oster, E. (2019). Unobservable selection and coefficient stability. </w:t>
      </w:r>
      <w:r>
        <w:rPr>
          <w:rFonts w:ascii="Times New Roman" w:cs="Times New Roman" w:eastAsia="Times New Roman" w:hAnsi="Times New Roman"/>
          <w:i/>
          <w:iCs/>
        </w:rPr>
        <w:t xml:space="preserve">Journal of Business &amp; Economic Statistics</w:t>
      </w:r>
      <w:r>
        <w:rPr>
          <w:rFonts w:ascii="Times New Roman" w:cs="Times New Roman" w:eastAsia="Times New Roman" w:hAnsi="Times New Roman"/>
        </w:rPr>
        <w:t xml:space="preserve">, 37(2), 187–204.</w:t>
      </w:r>
    </w:p>
    <w:p>
      <w:pPr>
        <w:pStyle w:val="ListParagraph"/>
        <w:numPr>
          <w:ilvl w:val="0"/>
          <w:numId w:val="2"/>
        </w:numPr>
        <w:spacing w:after="60" w:line="276"/>
      </w:pPr>
      <w:r>
        <w:rPr>
          <w:rFonts w:ascii="Times New Roman" w:cs="Times New Roman" w:eastAsia="Times New Roman" w:hAnsi="Times New Roman"/>
        </w:rPr>
        <w:t xml:space="preserve">Sami, M. (2026). Digital skills, gender, employment and wages in the Egyptian labor market. </w:t>
      </w:r>
      <w:r>
        <w:rPr>
          <w:rFonts w:ascii="Times New Roman" w:cs="Times New Roman" w:eastAsia="Times New Roman" w:hAnsi="Times New Roman"/>
          <w:i/>
          <w:iCs/>
        </w:rPr>
        <w:t xml:space="preserve">International Journal of Manpower</w:t>
      </w:r>
      <w:r>
        <w:rPr>
          <w:rFonts w:ascii="Times New Roman" w:cs="Times New Roman" w:eastAsia="Times New Roman" w:hAnsi="Times New Roman"/>
        </w:rPr>
        <w:t xml:space="preserve">, 47(2), 283–305.</w:t>
      </w:r>
    </w:p>
    <w:p>
      <w:pPr>
        <w:pStyle w:val="ListParagraph"/>
        <w:numPr>
          <w:ilvl w:val="0"/>
          <w:numId w:val="2"/>
        </w:numPr>
        <w:spacing w:after="60" w:line="276"/>
      </w:pPr>
      <w:r>
        <w:rPr>
          <w:rFonts w:ascii="Times New Roman" w:cs="Times New Roman" w:eastAsia="Times New Roman" w:hAnsi="Times New Roman"/>
        </w:rPr>
        <w:t xml:space="preserve">Sharma, M., Gupta, S. and Estupinan, X. (2020). An alternate to survey methods to measure work from home. IGIDR Working Paper WP-2020-028.</w:t>
      </w:r>
    </w:p>
    <w:p>
      <w:pPr>
        <w:pStyle w:val="ListParagraph"/>
        <w:numPr>
          <w:ilvl w:val="0"/>
          <w:numId w:val="2"/>
        </w:numPr>
        <w:spacing w:after="60" w:line="276"/>
      </w:pPr>
      <w:r>
        <w:rPr>
          <w:rFonts w:ascii="Times New Roman" w:cs="Times New Roman" w:eastAsia="Times New Roman" w:hAnsi="Times New Roman"/>
        </w:rPr>
        <w:t xml:space="preserve">Shrout, P. and Fleiss, J. (1979). Intraclass correlations: Uses in assessing rater reliability. </w:t>
      </w:r>
      <w:r>
        <w:rPr>
          <w:rFonts w:ascii="Times New Roman" w:cs="Times New Roman" w:eastAsia="Times New Roman" w:hAnsi="Times New Roman"/>
          <w:i/>
          <w:iCs/>
        </w:rPr>
        <w:t xml:space="preserve">Psychological Bulletin</w:t>
      </w:r>
      <w:r>
        <w:rPr>
          <w:rFonts w:ascii="Times New Roman" w:cs="Times New Roman" w:eastAsia="Times New Roman" w:hAnsi="Times New Roman"/>
        </w:rPr>
        <w:t xml:space="preserve">, 86(2), 420–428.</w:t>
      </w:r>
    </w:p>
    <w:p>
      <w:pPr>
        <w:pStyle w:val="ListParagraph"/>
        <w:numPr>
          <w:ilvl w:val="0"/>
          <w:numId w:val="2"/>
        </w:numPr>
        <w:spacing w:after="60" w:line="276"/>
      </w:pPr>
      <w:r>
        <w:rPr>
          <w:rFonts w:ascii="Times New Roman" w:cs="Times New Roman" w:eastAsia="Times New Roman" w:hAnsi="Times New Roman"/>
        </w:rPr>
        <w:t xml:space="preserve">Stöllinger, R. and Guarascio, D. (2025). Assessing digital leadership: Is the EU losing out to the US? </w:t>
      </w:r>
      <w:r>
        <w:rPr>
          <w:rFonts w:ascii="Times New Roman" w:cs="Times New Roman" w:eastAsia="Times New Roman" w:hAnsi="Times New Roman"/>
          <w:i/>
          <w:iCs/>
        </w:rPr>
        <w:t xml:space="preserve">Open Economies Review</w:t>
      </w:r>
      <w:r>
        <w:rPr>
          <w:rFonts w:ascii="Times New Roman" w:cs="Times New Roman" w:eastAsia="Times New Roman" w:hAnsi="Times New Roman"/>
        </w:rPr>
        <w:t xml:space="preserve">, 36, 329–371.</w:t>
      </w:r>
    </w:p>
    <w:p>
      <w:pPr>
        <w:pStyle w:val="ListParagraph"/>
        <w:numPr>
          <w:ilvl w:val="0"/>
          <w:numId w:val="2"/>
        </w:numPr>
        <w:spacing w:after="60" w:line="276"/>
      </w:pPr>
      <w:r>
        <w:rPr>
          <w:rFonts w:ascii="Times New Roman" w:cs="Times New Roman" w:eastAsia="Times New Roman" w:hAnsi="Times New Roman"/>
        </w:rPr>
        <w:t xml:space="preserve">Vashisht, P. and Dubey, J. D. (2019). Changing task contents of jobs in India: Implications and way forward. ICRIER Working Paper 355.</w:t>
      </w:r>
    </w:p>
    <w:p>
      <w:pPr>
        <w:pStyle w:val="Heading1"/>
        <w:spacing w:after="120" w:before="280"/>
      </w:pPr>
      <w:r>
        <w:rPr>
          <w:rFonts w:ascii="Times New Roman" w:cs="Times New Roman" w:eastAsia="Times New Roman" w:hAnsi="Times New Roman"/>
        </w:rPr>
        <w:t xml:space="preserve">Appendix A. Coding rubric</w:t>
      </w:r>
    </w:p>
    <w:p>
      <w:pPr>
        <w:spacing w:after="120" w:line="288"/>
        <w:jc w:val="both"/>
      </w:pPr>
      <w:r>
        <w:rPr>
          <w:rFonts w:ascii="Times New Roman" w:cs="Times New Roman" w:eastAsia="Times New Roman" w:hAnsi="Times New Roman"/>
        </w:rPr>
        <w:t xml:space="preserve">See </w:t>
      </w:r>
      <w:r>
        <w:rPr>
          <w:rFonts w:ascii="Consolas" w:cs="Consolas" w:eastAsia="Consolas" w:hAnsi="Consolas"/>
          <w:sz w:val="20"/>
          <w:szCs w:val="20"/>
        </w:rPr>
        <w:t xml:space="preserve">configs/rubric.yaml</w:t>
      </w:r>
      <w:r>
        <w:rPr>
          <w:rFonts w:ascii="Times New Roman" w:cs="Times New Roman" w:eastAsia="Times New Roman" w:hAnsi="Times New Roman"/>
        </w:rPr>
        <w:t xml:space="preserve"> (described-task reading) and </w:t>
      </w:r>
      <w:r>
        <w:rPr>
          <w:rFonts w:ascii="Consolas" w:cs="Consolas" w:eastAsia="Consolas" w:hAnsi="Consolas"/>
          <w:sz w:val="20"/>
          <w:szCs w:val="20"/>
        </w:rPr>
        <w:t xml:space="preserve">configs/rubric_strict.yaml</w:t>
      </w:r>
      <w:r>
        <w:rPr>
          <w:rFonts w:ascii="Times New Roman" w:cs="Times New Roman" w:eastAsia="Times New Roman" w:hAnsi="Times New Roman"/>
        </w:rPr>
        <w:t xml:space="preserve"> (strict reading); the human coder guide is </w:t>
      </w:r>
      <w:r>
        <w:rPr>
          <w:rFonts w:ascii="Consolas" w:cs="Consolas" w:eastAsia="Consolas" w:hAnsi="Consolas"/>
          <w:sz w:val="20"/>
          <w:szCs w:val="20"/>
        </w:rPr>
        <w:t xml:space="preserve">docs/DTI_Human_Coder_Guide.pdf</w:t>
      </w:r>
      <w:r>
        <w:rPr>
          <w:rFonts w:ascii="Times New Roman" w:cs="Times New Roman" w:eastAsia="Times New Roman" w:hAnsi="Times New Roman"/>
        </w:rPr>
        <w:t xml:space="preserve">.</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Working draft — </w:t>
    </w:r>
    <w:r>
      <w:rPr>
        <w:rFonts w:ascii="Times New Roman" w:cs="Times New Roman" w:eastAsia="Times New Roman" w:hAnsi="Times New Roman"/>
        <w:color w:val="666666"/>
        <w:sz w:val="18"/>
        <w:szCs w:val="18"/>
      </w:rPr>
      <w:fldChar w:fldCharType="begin"/>
    </w:r>
    <w:r>
      <w:rPr>
        <w:rFonts w:ascii="Times New Roman" w:cs="Times New Roman" w:eastAsia="Times New Roman" w:hAnsi="Times New Roman"/>
        <w:color w:val="666666"/>
        <w:sz w:val="18"/>
        <w:szCs w:val="18"/>
      </w:rPr>
      <w:instrText xml:space="preserve">PAGE</w:instrText>
    </w:r>
    <w:r>
      <w:rPr>
        <w:rFonts w:ascii="Times New Roman" w:cs="Times New Roman" w:eastAsia="Times New Roman" w:hAnsi="Times New Roman"/>
        <w:color w:val="666666"/>
        <w:sz w:val="18"/>
        <w:szCs w:val="18"/>
      </w:rPr>
      <w:fldChar w:fldCharType="separate"/>
    </w:r>
    <w:r>
      <w:rPr>
        <w:rFonts w:ascii="Times New Roman" w:cs="Times New Roman" w:eastAsia="Times New Roman" w:hAnsi="Times New Roman"/>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Task Intensity of Indian Occupations — working draft</dc:title>
  <dc:creator>DTI project</dc:creator>
  <cp:lastModifiedBy>Un-named</cp:lastModifiedBy>
  <cp:revision>1</cp:revision>
  <dcterms:created xsi:type="dcterms:W3CDTF">2026-10-21T15:20:35.398Z</dcterms:created>
  <dcterms:modified xsi:type="dcterms:W3CDTF">2026-10-21T15:20:35.398Z</dcterms:modified>
</cp:coreProperties>
</file>

<file path=docProps/custom.xml><?xml version="1.0" encoding="utf-8"?>
<Properties xmlns="http://schemas.openxmlformats.org/officeDocument/2006/custom-properties" xmlns:vt="http://schemas.openxmlformats.org/officeDocument/2006/docPropsVTypes"/>
</file>