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left"/>
      </w:pPr>
      <w:r>
        <w:rPr>
          <w:rFonts w:ascii="Arial" w:hAnsi="Arial"/>
          <w:b/>
          <w:color w:val="0B2545"/>
          <w:sz w:val="44"/>
        </w:rPr>
        <w:t>APEXLOGIX SOLUTIONS: FINANCIAL AUDIT REPORT FY2025</w:t>
      </w:r>
    </w:p>
    <w:p>
      <w:pPr>
        <w:pStyle w:val="Heading1"/>
        <w:spacing w:before="240" w:after="120"/>
      </w:pPr>
      <w:r>
        <w:rPr>
          <w:rFonts w:ascii="Arial" w:hAnsi="Arial"/>
          <w:b/>
          <w:color w:val="0B2545"/>
          <w:sz w:val="36"/>
        </w:rPr>
        <w:t>1. Executive Summary</w:t>
      </w:r>
    </w:p>
    <w:p>
      <w:r>
        <w:t>ApexLogix Solutions underwent a comprehensive financial review of its operations for the fiscal year ending December 31, 2025. The objective was to verify the accuracy of software licensing subscriptions and hardware product inventories, ensuring correct revenue recognition in accordance with IFRS 15 guidelines. The audit was conducted by Capital Assurance LLC.</w:t>
      </w:r>
    </w:p>
    <w:p>
      <w:pPr>
        <w:pStyle w:val="Heading1"/>
        <w:spacing w:before="240" w:after="120"/>
      </w:pPr>
      <w:r>
        <w:rPr>
          <w:rFonts w:ascii="Arial" w:hAnsi="Arial"/>
          <w:b/>
          <w:color w:val="0B2545"/>
          <w:sz w:val="36"/>
        </w:rPr>
        <w:t>2. Key Audit Findings</w:t>
      </w:r>
    </w:p>
    <w:p>
      <w:r>
        <w:t>The financial controls at ApexLogix Solutions were found to be generally robust. However, the audit identified three specific areas requiring structural remediation in internal workflows: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0B2545"/>
          </w:tcPr>
          <w:p>
            <w:pPr>
              <w:jc w:val="center"/>
            </w:pPr>
            <w:r>
              <w:rPr>
                <w:rFonts w:ascii="Arial" w:hAnsi="Arial"/>
                <w:b/>
                <w:color w:val="FFFFFF"/>
                <w:sz w:val="20"/>
              </w:rPr>
              <w:t>Finding ID</w:t>
            </w:r>
          </w:p>
        </w:tc>
        <w:tc>
          <w:tcPr>
            <w:tcW w:type="dxa" w:w="2340"/>
            <w:shd w:fill="0B2545"/>
          </w:tcPr>
          <w:p>
            <w:pPr>
              <w:jc w:val="center"/>
            </w:pPr>
            <w:r>
              <w:rPr>
                <w:rFonts w:ascii="Arial" w:hAnsi="Arial"/>
                <w:b/>
                <w:color w:val="FFFFFF"/>
                <w:sz w:val="20"/>
              </w:rPr>
              <w:t>Audit Area</w:t>
            </w:r>
          </w:p>
        </w:tc>
        <w:tc>
          <w:tcPr>
            <w:tcW w:type="dxa" w:w="2340"/>
            <w:shd w:fill="0B2545"/>
          </w:tcPr>
          <w:p>
            <w:pPr>
              <w:jc w:val="center"/>
            </w:pPr>
            <w:r>
              <w:rPr>
                <w:rFonts w:ascii="Arial" w:hAnsi="Arial"/>
                <w:b/>
                <w:color w:val="FFFFFF"/>
                <w:sz w:val="20"/>
              </w:rPr>
              <w:t>Description</w:t>
            </w:r>
          </w:p>
        </w:tc>
        <w:tc>
          <w:tcPr>
            <w:tcW w:type="dxa" w:w="2340"/>
            <w:shd w:fill="0B2545"/>
          </w:tcPr>
          <w:p>
            <w:pPr>
              <w:jc w:val="center"/>
            </w:pPr>
            <w:r>
              <w:rPr>
                <w:rFonts w:ascii="Arial" w:hAnsi="Arial"/>
                <w:b/>
                <w:color w:val="FFFFFF"/>
                <w:sz w:val="20"/>
              </w:rPr>
              <w:t>Status</w:t>
            </w:r>
          </w:p>
        </w:tc>
      </w:tr>
      <w:tr>
        <w:tc>
          <w:tcPr>
            <w:tcW w:type="dxa" w:w="2340"/>
          </w:tcPr>
          <w:p>
            <w:pPr>
              <w:jc w:val="left"/>
            </w:pPr>
            <w:r>
              <w:rPr>
                <w:rFonts w:ascii="Arial" w:hAnsi="Arial"/>
                <w:sz w:val="19"/>
              </w:rPr>
              <w:t>AUD-01</w:t>
            </w:r>
          </w:p>
        </w:tc>
        <w:tc>
          <w:tcPr>
            <w:tcW w:type="dxa" w:w="2340"/>
          </w:tcPr>
          <w:p>
            <w:pPr>
              <w:jc w:val="left"/>
            </w:pPr>
            <w:r>
              <w:rPr>
                <w:rFonts w:ascii="Arial" w:hAnsi="Arial"/>
                <w:sz w:val="19"/>
              </w:rPr>
              <w:t>Hardware Revenue Recognition Timing</w:t>
            </w:r>
          </w:p>
        </w:tc>
        <w:tc>
          <w:tcPr>
            <w:tcW w:type="dxa" w:w="2340"/>
          </w:tcPr>
          <w:p>
            <w:pPr>
              <w:jc w:val="left"/>
            </w:pPr>
            <w:r>
              <w:rPr>
                <w:rFonts w:ascii="Arial" w:hAnsi="Arial"/>
                <w:sz w:val="19"/>
              </w:rPr>
              <w:t>Incorrectly recognizing revenue upon shipment rather than customer receipt.</w:t>
            </w:r>
          </w:p>
        </w:tc>
        <w:tc>
          <w:tcPr>
            <w:tcW w:type="dxa" w:w="2340"/>
          </w:tcPr>
          <w:p>
            <w:pPr>
              <w:jc w:val="left"/>
            </w:pPr>
            <w:r>
              <w:rPr>
                <w:rFonts w:ascii="Arial" w:hAnsi="Arial"/>
                <w:sz w:val="19"/>
              </w:rPr>
              <w:t>Resolved</w:t>
            </w:r>
          </w:p>
        </w:tc>
      </w:tr>
      <w:tr>
        <w:tc>
          <w:tcPr>
            <w:tcW w:type="dxa" w:w="2340"/>
          </w:tcPr>
          <w:p>
            <w:pPr>
              <w:jc w:val="left"/>
            </w:pPr>
            <w:r>
              <w:rPr>
                <w:rFonts w:ascii="Arial" w:hAnsi="Arial"/>
                <w:sz w:val="19"/>
              </w:rPr>
              <w:t>AUD-02</w:t>
            </w:r>
          </w:p>
        </w:tc>
        <w:tc>
          <w:tcPr>
            <w:tcW w:type="dxa" w:w="2340"/>
          </w:tcPr>
          <w:p>
            <w:pPr>
              <w:jc w:val="left"/>
            </w:pPr>
            <w:r>
              <w:rPr>
                <w:rFonts w:ascii="Arial" w:hAnsi="Arial"/>
                <w:sz w:val="19"/>
              </w:rPr>
              <w:t>LiDAR Sensor Valuation Verification</w:t>
            </w:r>
          </w:p>
        </w:tc>
        <w:tc>
          <w:tcPr>
            <w:tcW w:type="dxa" w:w="2340"/>
          </w:tcPr>
          <w:p>
            <w:pPr>
              <w:jc w:val="left"/>
            </w:pPr>
            <w:r>
              <w:rPr>
                <w:rFonts w:ascii="Arial" w:hAnsi="Arial"/>
                <w:sz w:val="19"/>
              </w:rPr>
              <w:t>Discrepancy in unit pricing methodology of RL-101 LiDAR sensor models.</w:t>
            </w:r>
          </w:p>
        </w:tc>
        <w:tc>
          <w:tcPr>
            <w:tcW w:type="dxa" w:w="2340"/>
          </w:tcPr>
          <w:p>
            <w:pPr>
              <w:jc w:val="left"/>
            </w:pPr>
            <w:r>
              <w:rPr>
                <w:rFonts w:ascii="Arial" w:hAnsi="Arial"/>
                <w:sz w:val="19"/>
              </w:rPr>
              <w:t>In Progress</w:t>
            </w:r>
          </w:p>
        </w:tc>
      </w:tr>
      <w:tr>
        <w:tc>
          <w:tcPr>
            <w:tcW w:type="dxa" w:w="2340"/>
          </w:tcPr>
          <w:p>
            <w:pPr>
              <w:jc w:val="left"/>
            </w:pPr>
            <w:r>
              <w:rPr>
                <w:rFonts w:ascii="Arial" w:hAnsi="Arial"/>
                <w:sz w:val="19"/>
              </w:rPr>
              <w:t>AUD-03</w:t>
            </w:r>
          </w:p>
        </w:tc>
        <w:tc>
          <w:tcPr>
            <w:tcW w:type="dxa" w:w="2340"/>
          </w:tcPr>
          <w:p>
            <w:pPr>
              <w:jc w:val="left"/>
            </w:pPr>
            <w:r>
              <w:rPr>
                <w:rFonts w:ascii="Arial" w:hAnsi="Arial"/>
                <w:sz w:val="19"/>
              </w:rPr>
              <w:t>Sales Rep Commision Accruals</w:t>
            </w:r>
          </w:p>
        </w:tc>
        <w:tc>
          <w:tcPr>
            <w:tcW w:type="dxa" w:w="2340"/>
          </w:tcPr>
          <w:p>
            <w:pPr>
              <w:jc w:val="left"/>
            </w:pPr>
            <w:r>
              <w:rPr>
                <w:rFonts w:ascii="Arial" w:hAnsi="Arial"/>
                <w:sz w:val="19"/>
              </w:rPr>
              <w:t>Delays in tracking commission payables in the CRM ledger system.</w:t>
            </w:r>
          </w:p>
        </w:tc>
        <w:tc>
          <w:tcPr>
            <w:tcW w:type="dxa" w:w="2340"/>
          </w:tcPr>
          <w:p>
            <w:pPr>
              <w:jc w:val="left"/>
            </w:pPr>
            <w:r>
              <w:rPr>
                <w:rFonts w:ascii="Arial" w:hAnsi="Arial"/>
                <w:sz w:val="19"/>
              </w:rPr>
              <w:t>Pending Review</w:t>
            </w:r>
          </w:p>
        </w:tc>
      </w:tr>
    </w:tbl>
    <w:p/>
    <w:p>
      <w:pPr>
        <w:pStyle w:val="Heading1"/>
        <w:spacing w:before="240" w:after="120"/>
      </w:pPr>
      <w:r>
        <w:rPr>
          <w:rFonts w:ascii="Arial" w:hAnsi="Arial"/>
          <w:b/>
          <w:color w:val="0B2545"/>
          <w:sz w:val="36"/>
        </w:rPr>
        <w:t>3. Revenue Recognition Policies</w:t>
      </w:r>
    </w:p>
    <w:p>
      <w:r>
        <w:t>ApexLogix recognizes revenue across three segments: software licenses, hardware sales, and professional consulting. Software licensing is recognized monthly over the duration of the multi-year customer subscription. Robotics hardware sales are recognized when ownership transfers (FOB Destination), requiring verified delivery confirmation.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