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rFonts w:ascii="Arial" w:hAnsi="Arial"/>
          <w:b/>
          <w:color w:val="0B2545"/>
          <w:sz w:val="36"/>
        </w:rPr>
        <w:t>APEXLOGIX SOLUTIONS: WAREHOUSE ROBOTICS DEPLOYMENT SOP</w:t>
      </w:r>
    </w:p>
    <w:p>
      <w:pPr>
        <w:pStyle w:val="Heading1"/>
        <w:spacing w:before="240" w:after="120"/>
      </w:pPr>
      <w:r>
        <w:rPr>
          <w:rFonts w:ascii="Arial" w:hAnsi="Arial"/>
          <w:b/>
          <w:color w:val="0B2545"/>
          <w:sz w:val="36"/>
        </w:rPr>
        <w:t>1. Purpose and Scope</w:t>
      </w:r>
    </w:p>
    <w:p>
      <w:r>
        <w:t>This Standard Operating Procedure (SOP) defines the operational guidelines for commissioning and testing the ApexLogix AR-200 Autonomous Mobile Robot (AMR) fleet in client fulfillment facilities. This covers physical setup, sensor calibrations, and automated pick pathing.</w:t>
      </w:r>
    </w:p>
    <w:p>
      <w:pPr>
        <w:pStyle w:val="Heading1"/>
        <w:spacing w:before="240" w:after="120"/>
      </w:pPr>
      <w:r>
        <w:rPr>
          <w:rFonts w:ascii="Arial" w:hAnsi="Arial"/>
          <w:b/>
          <w:color w:val="0B2545"/>
          <w:sz w:val="36"/>
        </w:rPr>
        <w:t>2. Pre-Deployment Configuration Checklist</w:t>
      </w:r>
    </w:p>
    <w:p>
      <w:r>
        <w:t>Before activating robots on the warehouse floor, field engineers must complete the physical inspection checklist below:</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0B2545"/>
          </w:tcPr>
          <w:p>
            <w:pPr>
              <w:jc w:val="center"/>
            </w:pPr>
            <w:r>
              <w:rPr>
                <w:rFonts w:ascii="Arial" w:hAnsi="Arial"/>
                <w:b/>
                <w:color w:val="FFFFFF"/>
                <w:sz w:val="20"/>
              </w:rPr>
              <w:t>Step Number</w:t>
            </w:r>
          </w:p>
        </w:tc>
        <w:tc>
          <w:tcPr>
            <w:tcW w:type="dxa" w:w="2340"/>
            <w:shd w:fill="0B2545"/>
          </w:tcPr>
          <w:p>
            <w:pPr>
              <w:jc w:val="center"/>
            </w:pPr>
            <w:r>
              <w:rPr>
                <w:rFonts w:ascii="Arial" w:hAnsi="Arial"/>
                <w:b/>
                <w:color w:val="FFFFFF"/>
                <w:sz w:val="20"/>
              </w:rPr>
              <w:t>Check Procedure</w:t>
            </w:r>
          </w:p>
        </w:tc>
        <w:tc>
          <w:tcPr>
            <w:tcW w:type="dxa" w:w="2340"/>
            <w:shd w:fill="0B2545"/>
          </w:tcPr>
          <w:p>
            <w:pPr>
              <w:jc w:val="center"/>
            </w:pPr>
            <w:r>
              <w:rPr>
                <w:rFonts w:ascii="Arial" w:hAnsi="Arial"/>
                <w:b/>
                <w:color w:val="FFFFFF"/>
                <w:sz w:val="20"/>
              </w:rPr>
              <w:t>Validation Action Required</w:t>
            </w:r>
          </w:p>
        </w:tc>
        <w:tc>
          <w:tcPr>
            <w:tcW w:type="dxa" w:w="2340"/>
            <w:shd w:fill="0B2545"/>
          </w:tcPr>
          <w:p>
            <w:pPr>
              <w:jc w:val="center"/>
            </w:pPr>
            <w:r>
              <w:rPr>
                <w:rFonts w:ascii="Arial" w:hAnsi="Arial"/>
                <w:b/>
                <w:color w:val="FFFFFF"/>
                <w:sz w:val="20"/>
              </w:rPr>
              <w:t>Domain</w:t>
            </w:r>
          </w:p>
        </w:tc>
      </w:tr>
      <w:tr>
        <w:tc>
          <w:tcPr>
            <w:tcW w:type="dxa" w:w="2340"/>
          </w:tcPr>
          <w:p>
            <w:pPr>
              <w:jc w:val="left"/>
            </w:pPr>
            <w:r>
              <w:rPr>
                <w:rFonts w:ascii="Arial" w:hAnsi="Arial"/>
                <w:sz w:val="19"/>
              </w:rPr>
              <w:t>Step 1</w:t>
            </w:r>
          </w:p>
        </w:tc>
        <w:tc>
          <w:tcPr>
            <w:tcW w:type="dxa" w:w="2340"/>
          </w:tcPr>
          <w:p>
            <w:pPr>
              <w:jc w:val="left"/>
            </w:pPr>
            <w:r>
              <w:rPr>
                <w:rFonts w:ascii="Arial" w:hAnsi="Arial"/>
                <w:sz w:val="19"/>
              </w:rPr>
              <w:t>Hardware Mounting Check</w:t>
            </w:r>
          </w:p>
        </w:tc>
        <w:tc>
          <w:tcPr>
            <w:tcW w:type="dxa" w:w="2340"/>
          </w:tcPr>
          <w:p>
            <w:pPr>
              <w:jc w:val="left"/>
            </w:pPr>
            <w:r>
              <w:rPr>
                <w:rFonts w:ascii="Arial" w:hAnsi="Arial"/>
                <w:sz w:val="19"/>
              </w:rPr>
              <w:t>Verify LiDAR sensors (RL-101) and Mecanum wheels are securely attached.</w:t>
            </w:r>
          </w:p>
        </w:tc>
        <w:tc>
          <w:tcPr>
            <w:tcW w:type="dxa" w:w="2340"/>
          </w:tcPr>
          <w:p>
            <w:pPr>
              <w:jc w:val="left"/>
            </w:pPr>
            <w:r>
              <w:rPr>
                <w:rFonts w:ascii="Arial" w:hAnsi="Arial"/>
                <w:sz w:val="19"/>
              </w:rPr>
              <w:t>Mechanical</w:t>
            </w:r>
          </w:p>
        </w:tc>
      </w:tr>
      <w:tr>
        <w:tc>
          <w:tcPr>
            <w:tcW w:type="dxa" w:w="2340"/>
          </w:tcPr>
          <w:p>
            <w:pPr>
              <w:jc w:val="left"/>
            </w:pPr>
            <w:r>
              <w:rPr>
                <w:rFonts w:ascii="Arial" w:hAnsi="Arial"/>
                <w:sz w:val="19"/>
              </w:rPr>
              <w:t>Step 2</w:t>
            </w:r>
          </w:p>
        </w:tc>
        <w:tc>
          <w:tcPr>
            <w:tcW w:type="dxa" w:w="2340"/>
          </w:tcPr>
          <w:p>
            <w:pPr>
              <w:jc w:val="left"/>
            </w:pPr>
            <w:r>
              <w:rPr>
                <w:rFonts w:ascii="Arial" w:hAnsi="Arial"/>
                <w:sz w:val="19"/>
              </w:rPr>
              <w:t>Battery Voltage Verify</w:t>
            </w:r>
          </w:p>
        </w:tc>
        <w:tc>
          <w:tcPr>
            <w:tcW w:type="dxa" w:w="2340"/>
          </w:tcPr>
          <w:p>
            <w:pPr>
              <w:jc w:val="left"/>
            </w:pPr>
            <w:r>
              <w:rPr>
                <w:rFonts w:ascii="Arial" w:hAnsi="Arial"/>
                <w:sz w:val="19"/>
              </w:rPr>
              <w:t>Confirm Lithium battery packs (RL-505) are fully charged to 54.2V.</w:t>
            </w:r>
          </w:p>
        </w:tc>
        <w:tc>
          <w:tcPr>
            <w:tcW w:type="dxa" w:w="2340"/>
          </w:tcPr>
          <w:p>
            <w:pPr>
              <w:jc w:val="left"/>
            </w:pPr>
            <w:r>
              <w:rPr>
                <w:rFonts w:ascii="Arial" w:hAnsi="Arial"/>
                <w:sz w:val="19"/>
              </w:rPr>
              <w:t>Electrical</w:t>
            </w:r>
          </w:p>
        </w:tc>
      </w:tr>
      <w:tr>
        <w:tc>
          <w:tcPr>
            <w:tcW w:type="dxa" w:w="2340"/>
          </w:tcPr>
          <w:p>
            <w:pPr>
              <w:jc w:val="left"/>
            </w:pPr>
            <w:r>
              <w:rPr>
                <w:rFonts w:ascii="Arial" w:hAnsi="Arial"/>
                <w:sz w:val="19"/>
              </w:rPr>
              <w:t>Step 3</w:t>
            </w:r>
          </w:p>
        </w:tc>
        <w:tc>
          <w:tcPr>
            <w:tcW w:type="dxa" w:w="2340"/>
          </w:tcPr>
          <w:p>
            <w:pPr>
              <w:jc w:val="left"/>
            </w:pPr>
            <w:r>
              <w:rPr>
                <w:rFonts w:ascii="Arial" w:hAnsi="Arial"/>
                <w:sz w:val="19"/>
              </w:rPr>
              <w:t>Firmware Upload &amp; Boot</w:t>
            </w:r>
          </w:p>
        </w:tc>
        <w:tc>
          <w:tcPr>
            <w:tcW w:type="dxa" w:w="2340"/>
          </w:tcPr>
          <w:p>
            <w:pPr>
              <w:jc w:val="left"/>
            </w:pPr>
            <w:r>
              <w:rPr>
                <w:rFonts w:ascii="Arial" w:hAnsi="Arial"/>
                <w:sz w:val="19"/>
              </w:rPr>
              <w:t>Flash embedded Controller Board (RL-404) with firmware version 4.8.1.</w:t>
            </w:r>
          </w:p>
        </w:tc>
        <w:tc>
          <w:tcPr>
            <w:tcW w:type="dxa" w:w="2340"/>
          </w:tcPr>
          <w:p>
            <w:pPr>
              <w:jc w:val="left"/>
            </w:pPr>
            <w:r>
              <w:rPr>
                <w:rFonts w:ascii="Arial" w:hAnsi="Arial"/>
                <w:sz w:val="19"/>
              </w:rPr>
              <w:t>Compute</w:t>
            </w:r>
          </w:p>
        </w:tc>
      </w:tr>
      <w:tr>
        <w:tc>
          <w:tcPr>
            <w:tcW w:type="dxa" w:w="2340"/>
          </w:tcPr>
          <w:p>
            <w:pPr>
              <w:jc w:val="left"/>
            </w:pPr>
            <w:r>
              <w:rPr>
                <w:rFonts w:ascii="Arial" w:hAnsi="Arial"/>
                <w:sz w:val="19"/>
              </w:rPr>
              <w:t>Step 4</w:t>
            </w:r>
          </w:p>
        </w:tc>
        <w:tc>
          <w:tcPr>
            <w:tcW w:type="dxa" w:w="2340"/>
          </w:tcPr>
          <w:p>
            <w:pPr>
              <w:jc w:val="left"/>
            </w:pPr>
            <w:r>
              <w:rPr>
                <w:rFonts w:ascii="Arial" w:hAnsi="Arial"/>
                <w:sz w:val="19"/>
              </w:rPr>
              <w:t>Local Telemetry Sync</w:t>
            </w:r>
          </w:p>
        </w:tc>
        <w:tc>
          <w:tcPr>
            <w:tcW w:type="dxa" w:w="2340"/>
          </w:tcPr>
          <w:p>
            <w:pPr>
              <w:jc w:val="left"/>
            </w:pPr>
            <w:r>
              <w:rPr>
                <w:rFonts w:ascii="Arial" w:hAnsi="Arial"/>
                <w:sz w:val="19"/>
              </w:rPr>
              <w:t>Verify MQTT connection status via the local facility broker endpoint.</w:t>
            </w:r>
          </w:p>
        </w:tc>
        <w:tc>
          <w:tcPr>
            <w:tcW w:type="dxa" w:w="2340"/>
          </w:tcPr>
          <w:p>
            <w:pPr>
              <w:jc w:val="left"/>
            </w:pPr>
            <w:r>
              <w:rPr>
                <w:rFonts w:ascii="Arial" w:hAnsi="Arial"/>
                <w:sz w:val="19"/>
              </w:rPr>
              <w:t>Network</w:t>
            </w:r>
          </w:p>
        </w:tc>
      </w:tr>
    </w:tbl>
    <w:p/>
    <w:p>
      <w:pPr>
        <w:pStyle w:val="Heading1"/>
        <w:spacing w:before="240" w:after="120"/>
      </w:pPr>
      <w:r>
        <w:rPr>
          <w:rFonts w:ascii="Arial" w:hAnsi="Arial"/>
          <w:b/>
          <w:color w:val="0B2545"/>
          <w:sz w:val="36"/>
        </w:rPr>
        <w:t>3. Robot Performance Trends</w:t>
      </w:r>
    </w:p>
    <w:p>
      <w:r>
        <w:t>Fulfillment center efficiency is tracked using the average items picked per hour per robot. The chart below shows performance growth across our three primary active customer sites during 2025 following the implementation of this SOP:</w:t>
      </w:r>
    </w:p>
    <w:p>
      <w:r>
        <w:drawing>
          <wp:inline xmlns:a="http://schemas.openxmlformats.org/drawingml/2006/main" xmlns:pic="http://schemas.openxmlformats.org/drawingml/2006/picture">
            <wp:extent cx="4572000" cy="2714368"/>
            <wp:docPr id="1" name="Picture 1"/>
            <wp:cNvGraphicFramePr>
              <a:graphicFrameLocks noChangeAspect="1"/>
            </wp:cNvGraphicFramePr>
            <a:graphic>
              <a:graphicData uri="http://schemas.openxmlformats.org/drawingml/2006/picture">
                <pic:pic>
                  <pic:nvPicPr>
                    <pic:cNvPr id="0" name="ops_pick_rate_chart.png"/>
                    <pic:cNvPicPr/>
                  </pic:nvPicPr>
                  <pic:blipFill>
                    <a:blip r:embed="rId9"/>
                    <a:stretch>
                      <a:fillRect/>
                    </a:stretch>
                  </pic:blipFill>
                  <pic:spPr>
                    <a:xfrm>
                      <a:off x="0" y="0"/>
                      <a:ext cx="4572000" cy="2714368"/>
                    </a:xfrm>
                    <a:prstGeom prst="rect"/>
                  </pic:spPr>
                </pic:pic>
              </a:graphicData>
            </a:graphic>
          </wp:inline>
        </w:drawing>
      </w:r>
    </w:p>
    <w:p>
      <w:pPr>
        <w:jc w:val="center"/>
      </w:pPr>
      <w:r>
        <w:rPr>
          <w:i/>
          <w:sz w:val="19"/>
        </w:rPr>
        <w:t>Figure 2.1: Monthly Average Pick Rates by Logistics Center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