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0B2545"/>
          <w:sz w:val="40"/>
        </w:rPr>
        <w:t>APEXLOGIX SOLUTIONS: SYSTEM ARCHITECTURE DESIGN</w:t>
      </w:r>
    </w:p>
    <w:p>
      <w:pPr>
        <w:pStyle w:val="Heading1"/>
        <w:spacing w:before="240" w:after="120"/>
      </w:pPr>
      <w:r>
        <w:rPr>
          <w:rFonts w:ascii="Arial" w:hAnsi="Arial"/>
          <w:b/>
          <w:color w:val="0B2545"/>
          <w:sz w:val="36"/>
        </w:rPr>
        <w:t>1. Architecture Overview</w:t>
      </w:r>
    </w:p>
    <w:p>
      <w:r>
        <w:t>The ApexLogix platform utilizes a highly modular microservices design to scale telemetry ingestion and robot path routing. The layout consists of an API Gateway reverse proxy routing incoming traffic to specialized domain services. PostgreSQL is used for relational transactional storage, while TimescaleDB captures the high-frequency robot telemetry metrics.</w:t>
      </w:r>
    </w:p>
    <w:p>
      <w:r>
        <w:drawing>
          <wp:inline xmlns:a="http://schemas.openxmlformats.org/drawingml/2006/main" xmlns:pic="http://schemas.openxmlformats.org/drawingml/2006/picture">
            <wp:extent cx="4572000" cy="3414532"/>
            <wp:docPr id="1" name="Picture 1"/>
            <wp:cNvGraphicFramePr>
              <a:graphicFrameLocks noChangeAspect="1"/>
            </wp:cNvGraphicFramePr>
            <a:graphic>
              <a:graphicData uri="http://schemas.openxmlformats.org/drawingml/2006/picture">
                <pic:pic>
                  <pic:nvPicPr>
                    <pic:cNvPr id="0" name="tech_architecture_diagram.png"/>
                    <pic:cNvPicPr/>
                  </pic:nvPicPr>
                  <pic:blipFill>
                    <a:blip r:embed="rId9"/>
                    <a:stretch>
                      <a:fillRect/>
                    </a:stretch>
                  </pic:blipFill>
                  <pic:spPr>
                    <a:xfrm>
                      <a:off x="0" y="0"/>
                      <a:ext cx="4572000" cy="3414532"/>
                    </a:xfrm>
                    <a:prstGeom prst="rect"/>
                  </pic:spPr>
                </pic:pic>
              </a:graphicData>
            </a:graphic>
          </wp:inline>
        </w:drawing>
      </w:r>
    </w:p>
    <w:p>
      <w:pPr>
        <w:spacing w:after="300"/>
        <w:jc w:val="center"/>
      </w:pPr>
      <w:r>
        <w:rPr>
          <w:i/>
          <w:sz w:val="19"/>
        </w:rPr>
        <w:t>Figure 3.1: Microservices and Storage Layer Layout Diagram.</w:t>
      </w:r>
    </w:p>
    <w:p>
      <w:pPr>
        <w:pStyle w:val="Heading1"/>
        <w:spacing w:before="240" w:after="120"/>
      </w:pPr>
      <w:r>
        <w:rPr>
          <w:rFonts w:ascii="Arial" w:hAnsi="Arial"/>
          <w:b/>
          <w:color w:val="0B2545"/>
          <w:sz w:val="36"/>
        </w:rPr>
        <w:t>2. Robot Telemetry Table Schema</w:t>
      </w:r>
    </w:p>
    <w:p>
      <w:r>
        <w:t>Telemetry reports are streamed via MQTT every 500ms from active robots. The metrics are ingested and stored in the relational timeseries table structured as follows:</w:t>
      </w:r>
    </w:p>
    <w:tbl>
      <w:tblPr>
        <w:tblStyle w:val="TableGrid"/>
        <w:tblW w:type="auto" w:w="0"/>
        <w:tblLook w:firstColumn="1" w:firstRow="1" w:lastColumn="0" w:lastRow="0" w:noHBand="0" w:noVBand="1" w:val="04A0"/>
      </w:tblPr>
      <w:tblGrid>
        <w:gridCol w:w="3120"/>
        <w:gridCol w:w="3120"/>
        <w:gridCol w:w="3120"/>
      </w:tblGrid>
      <w:tr>
        <w:tc>
          <w:tcPr>
            <w:tcW w:type="dxa" w:w="3120"/>
            <w:shd w:fill="0B2545"/>
          </w:tcPr>
          <w:p>
            <w:pPr>
              <w:jc w:val="center"/>
            </w:pPr>
            <w:r>
              <w:rPr>
                <w:rFonts w:ascii="Arial" w:hAnsi="Arial"/>
                <w:b/>
                <w:color w:val="FFFFFF"/>
                <w:sz w:val="20"/>
              </w:rPr>
              <w:t>Column Name</w:t>
            </w:r>
          </w:p>
        </w:tc>
        <w:tc>
          <w:tcPr>
            <w:tcW w:type="dxa" w:w="3120"/>
            <w:shd w:fill="0B2545"/>
          </w:tcPr>
          <w:p>
            <w:pPr>
              <w:jc w:val="center"/>
            </w:pPr>
            <w:r>
              <w:rPr>
                <w:rFonts w:ascii="Arial" w:hAnsi="Arial"/>
                <w:b/>
                <w:color w:val="FFFFFF"/>
                <w:sz w:val="20"/>
              </w:rPr>
              <w:t>Data Type</w:t>
            </w:r>
          </w:p>
        </w:tc>
        <w:tc>
          <w:tcPr>
            <w:tcW w:type="dxa" w:w="3120"/>
            <w:shd w:fill="0B2545"/>
          </w:tcPr>
          <w:p>
            <w:pPr>
              <w:jc w:val="center"/>
            </w:pPr>
            <w:r>
              <w:rPr>
                <w:rFonts w:ascii="Arial" w:hAnsi="Arial"/>
                <w:b/>
                <w:color w:val="FFFFFF"/>
                <w:sz w:val="20"/>
              </w:rPr>
              <w:t>Constraint &amp; Description</w:t>
            </w:r>
          </w:p>
        </w:tc>
      </w:tr>
      <w:tr>
        <w:tc>
          <w:tcPr>
            <w:tcW w:type="dxa" w:w="3120"/>
          </w:tcPr>
          <w:p>
            <w:pPr>
              <w:jc w:val="left"/>
            </w:pPr>
            <w:r>
              <w:rPr>
                <w:rFonts w:ascii="Arial" w:hAnsi="Arial"/>
                <w:sz w:val="19"/>
              </w:rPr>
              <w:t>id</w:t>
            </w:r>
          </w:p>
        </w:tc>
        <w:tc>
          <w:tcPr>
            <w:tcW w:type="dxa" w:w="3120"/>
          </w:tcPr>
          <w:p>
            <w:pPr>
              <w:jc w:val="left"/>
            </w:pPr>
            <w:r>
              <w:rPr>
                <w:rFonts w:ascii="Arial" w:hAnsi="Arial"/>
                <w:sz w:val="19"/>
              </w:rPr>
              <w:t>BIGINT</w:t>
            </w:r>
          </w:p>
        </w:tc>
        <w:tc>
          <w:tcPr>
            <w:tcW w:type="dxa" w:w="3120"/>
          </w:tcPr>
          <w:p>
            <w:pPr>
              <w:jc w:val="left"/>
            </w:pPr>
            <w:r>
              <w:rPr>
                <w:rFonts w:ascii="Arial" w:hAnsi="Arial"/>
                <w:sz w:val="19"/>
              </w:rPr>
              <w:t>PRIMARY KEY, auto-incrementing unique identifier.</w:t>
            </w:r>
          </w:p>
        </w:tc>
      </w:tr>
      <w:tr>
        <w:tc>
          <w:tcPr>
            <w:tcW w:type="dxa" w:w="3120"/>
          </w:tcPr>
          <w:p>
            <w:pPr>
              <w:jc w:val="left"/>
            </w:pPr>
            <w:r>
              <w:rPr>
                <w:rFonts w:ascii="Arial" w:hAnsi="Arial"/>
                <w:sz w:val="19"/>
              </w:rPr>
              <w:t>robot_id</w:t>
            </w:r>
          </w:p>
        </w:tc>
        <w:tc>
          <w:tcPr>
            <w:tcW w:type="dxa" w:w="3120"/>
          </w:tcPr>
          <w:p>
            <w:pPr>
              <w:jc w:val="left"/>
            </w:pPr>
            <w:r>
              <w:rPr>
                <w:rFonts w:ascii="Arial" w:hAnsi="Arial"/>
                <w:sz w:val="19"/>
              </w:rPr>
              <w:t>VARCHAR(36)</w:t>
            </w:r>
          </w:p>
        </w:tc>
        <w:tc>
          <w:tcPr>
            <w:tcW w:type="dxa" w:w="3120"/>
          </w:tcPr>
          <w:p>
            <w:pPr>
              <w:jc w:val="left"/>
            </w:pPr>
            <w:r>
              <w:rPr>
                <w:rFonts w:ascii="Arial" w:hAnsi="Arial"/>
                <w:sz w:val="19"/>
              </w:rPr>
              <w:t>UUID referencing the unique active robot registration.</w:t>
            </w:r>
          </w:p>
        </w:tc>
      </w:tr>
      <w:tr>
        <w:tc>
          <w:tcPr>
            <w:tcW w:type="dxa" w:w="3120"/>
          </w:tcPr>
          <w:p>
            <w:pPr>
              <w:jc w:val="left"/>
            </w:pPr>
            <w:r>
              <w:rPr>
                <w:rFonts w:ascii="Arial" w:hAnsi="Arial"/>
                <w:sz w:val="19"/>
              </w:rPr>
              <w:t>timestamp</w:t>
            </w:r>
          </w:p>
        </w:tc>
        <w:tc>
          <w:tcPr>
            <w:tcW w:type="dxa" w:w="3120"/>
          </w:tcPr>
          <w:p>
            <w:pPr>
              <w:jc w:val="left"/>
            </w:pPr>
            <w:r>
              <w:rPr>
                <w:rFonts w:ascii="Arial" w:hAnsi="Arial"/>
                <w:sz w:val="19"/>
              </w:rPr>
              <w:t>TIMESTAMPTZ</w:t>
            </w:r>
          </w:p>
        </w:tc>
        <w:tc>
          <w:tcPr>
            <w:tcW w:type="dxa" w:w="3120"/>
          </w:tcPr>
          <w:p>
            <w:pPr>
              <w:jc w:val="left"/>
            </w:pPr>
            <w:r>
              <w:rPr>
                <w:rFonts w:ascii="Arial" w:hAnsi="Arial"/>
                <w:sz w:val="19"/>
              </w:rPr>
              <w:t>UTC time coordinates of packet transmission.</w:t>
            </w:r>
          </w:p>
        </w:tc>
      </w:tr>
      <w:tr>
        <w:tc>
          <w:tcPr>
            <w:tcW w:type="dxa" w:w="3120"/>
          </w:tcPr>
          <w:p>
            <w:pPr>
              <w:jc w:val="left"/>
            </w:pPr>
            <w:r>
              <w:rPr>
                <w:rFonts w:ascii="Arial" w:hAnsi="Arial"/>
                <w:sz w:val="19"/>
              </w:rPr>
              <w:t>battery_level</w:t>
            </w:r>
          </w:p>
        </w:tc>
        <w:tc>
          <w:tcPr>
            <w:tcW w:type="dxa" w:w="3120"/>
          </w:tcPr>
          <w:p>
            <w:pPr>
              <w:jc w:val="left"/>
            </w:pPr>
            <w:r>
              <w:rPr>
                <w:rFonts w:ascii="Arial" w:hAnsi="Arial"/>
                <w:sz w:val="19"/>
              </w:rPr>
              <w:t>NUMERIC(4,2)</w:t>
            </w:r>
          </w:p>
        </w:tc>
        <w:tc>
          <w:tcPr>
            <w:tcW w:type="dxa" w:w="3120"/>
          </w:tcPr>
          <w:p>
            <w:pPr>
              <w:jc w:val="left"/>
            </w:pPr>
            <w:r>
              <w:rPr>
                <w:rFonts w:ascii="Arial" w:hAnsi="Arial"/>
                <w:sz w:val="19"/>
              </w:rPr>
              <w:t>Percentage value indicating battery power (0.00% to 100.00%).</w:t>
            </w:r>
          </w:p>
        </w:tc>
      </w:tr>
      <w:tr>
        <w:tc>
          <w:tcPr>
            <w:tcW w:type="dxa" w:w="3120"/>
          </w:tcPr>
          <w:p>
            <w:pPr>
              <w:jc w:val="left"/>
            </w:pPr>
            <w:r>
              <w:rPr>
                <w:rFonts w:ascii="Arial" w:hAnsi="Arial"/>
                <w:sz w:val="19"/>
              </w:rPr>
              <w:t>x_coord / y_coord</w:t>
            </w:r>
          </w:p>
        </w:tc>
        <w:tc>
          <w:tcPr>
            <w:tcW w:type="dxa" w:w="3120"/>
          </w:tcPr>
          <w:p>
            <w:pPr>
              <w:jc w:val="left"/>
            </w:pPr>
            <w:r>
              <w:rPr>
                <w:rFonts w:ascii="Arial" w:hAnsi="Arial"/>
                <w:sz w:val="19"/>
              </w:rPr>
              <w:t>REAL</w:t>
            </w:r>
          </w:p>
        </w:tc>
        <w:tc>
          <w:tcPr>
            <w:tcW w:type="dxa" w:w="3120"/>
          </w:tcPr>
          <w:p>
            <w:pPr>
              <w:jc w:val="left"/>
            </w:pPr>
            <w:r>
              <w:rPr>
                <w:rFonts w:ascii="Arial" w:hAnsi="Arial"/>
                <w:sz w:val="19"/>
              </w:rPr>
              <w:t>Position coordinates relative to the warehouse grid coordinates.</w:t>
            </w:r>
          </w:p>
        </w:tc>
      </w:tr>
      <w:tr>
        <w:tc>
          <w:tcPr>
            <w:tcW w:type="dxa" w:w="3120"/>
          </w:tcPr>
          <w:p>
            <w:pPr>
              <w:jc w:val="left"/>
            </w:pPr>
            <w:r>
              <w:rPr>
                <w:rFonts w:ascii="Arial" w:hAnsi="Arial"/>
                <w:sz w:val="19"/>
              </w:rPr>
              <w:t>status_code</w:t>
            </w:r>
          </w:p>
        </w:tc>
        <w:tc>
          <w:tcPr>
            <w:tcW w:type="dxa" w:w="3120"/>
          </w:tcPr>
          <w:p>
            <w:pPr>
              <w:jc w:val="left"/>
            </w:pPr>
            <w:r>
              <w:rPr>
                <w:rFonts w:ascii="Arial" w:hAnsi="Arial"/>
                <w:sz w:val="19"/>
              </w:rPr>
              <w:t>INTEGER</w:t>
            </w:r>
          </w:p>
        </w:tc>
        <w:tc>
          <w:tcPr>
            <w:tcW w:type="dxa" w:w="3120"/>
          </w:tcPr>
          <w:p>
            <w:pPr>
              <w:jc w:val="left"/>
            </w:pPr>
            <w:r>
              <w:rPr>
                <w:rFonts w:ascii="Arial" w:hAnsi="Arial"/>
                <w:sz w:val="19"/>
              </w:rPr>
              <w:t>Status enum value: 0=Idle, 1=Routing, 2=Charging, 3=Fault.</w:t>
            </w:r>
          </w:p>
        </w:tc>
      </w:tr>
      <w:tr>
        <w:tc>
          <w:tcPr>
            <w:tcW w:type="dxa" w:w="3120"/>
          </w:tcPr>
          <w:p>
            <w:pPr>
              <w:jc w:val="left"/>
            </w:pPr>
            <w:r>
              <w:rPr>
                <w:rFonts w:ascii="Arial" w:hAnsi="Arial"/>
                <w:sz w:val="19"/>
              </w:rPr>
              <w:t>error_log</w:t>
            </w:r>
          </w:p>
        </w:tc>
        <w:tc>
          <w:tcPr>
            <w:tcW w:type="dxa" w:w="3120"/>
          </w:tcPr>
          <w:p>
            <w:pPr>
              <w:jc w:val="left"/>
            </w:pPr>
            <w:r>
              <w:rPr>
                <w:rFonts w:ascii="Arial" w:hAnsi="Arial"/>
                <w:sz w:val="19"/>
              </w:rPr>
              <w:t>TEXT</w:t>
            </w:r>
          </w:p>
        </w:tc>
        <w:tc>
          <w:tcPr>
            <w:tcW w:type="dxa" w:w="3120"/>
          </w:tcPr>
          <w:p>
            <w:pPr>
              <w:jc w:val="left"/>
            </w:pPr>
            <w:r>
              <w:rPr>
                <w:rFonts w:ascii="Arial" w:hAnsi="Arial"/>
                <w:sz w:val="19"/>
              </w:rPr>
              <w:t>Optional field containing error codes or system traceback dump.</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