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A73E8"/>
          <w:sz w:val="48"/>
        </w:rPr>
        <w:t>EASY BUILD: CUSTOMER SUPPORT KNOWLEDGE BASE</w:t>
      </w:r>
    </w:p>
    <w:p>
      <w:r>
        <w:rPr>
          <w:b/>
        </w:rPr>
        <w:t xml:space="preserve">Document ID: </w:t>
      </w:r>
      <w:r>
        <w:t>EB-CS-KB-007</w:t>
        <w:br/>
      </w:r>
      <w:r>
        <w:rPr>
          <w:b/>
        </w:rPr>
        <w:t xml:space="preserve">Owner: </w:t>
      </w:r>
      <w:r>
        <w:t>Priya Sharma (VP Sales &amp; Cust Support)</w:t>
        <w:br/>
      </w:r>
      <w:r>
        <w:rPr>
          <w:b/>
        </w:rPr>
        <w:t xml:space="preserve">Version: </w:t>
      </w:r>
      <w:r>
        <w:t>4.0</w:t>
        <w:br/>
      </w:r>
    </w:p>
    <w:p>
      <w:pPr>
        <w:pStyle w:val="Heading1"/>
        <w:spacing w:before="240" w:after="120"/>
      </w:pPr>
      <w:r>
        <w:rPr>
          <w:rFonts w:ascii="Arial" w:hAnsi="Arial"/>
          <w:b/>
          <w:i w:val="0"/>
          <w:color w:val="1A73E8"/>
          <w:sz w:val="36"/>
        </w:rPr>
        <w:t>1. Complaint Categorization and SLAs</w:t>
      </w:r>
    </w:p>
    <w:p>
      <w:r>
        <w:t>Support tickets are categorized based on priority levels: P1 (System Down/Major Order Block), P2 (Partial Damage/Delivery delay), P3 (Billing queries), P4 (General feedback). SLA responses are 2 hours for P1, 8 hours for P2, 24 hours for P3/P4.</w:t>
      </w:r>
    </w:p>
    <w:p>
      <w:r>
        <w:t>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</w:r>
    </w:p>
    <w:p>
      <w:pPr>
        <w:pStyle w:val="Heading1"/>
        <w:spacing w:before="240" w:after="120"/>
      </w:pPr>
      <w:r>
        <w:rPr>
          <w:rFonts w:ascii="Arial" w:hAnsi="Arial"/>
          <w:b/>
          <w:i w:val="0"/>
          <w:color w:val="1A73E8"/>
          <w:sz w:val="36"/>
        </w:rPr>
        <w:t>2. Returns, Refunds and Policies</w:t>
      </w:r>
    </w:p>
    <w:p>
      <w:r>
        <w:t>Customer return windows are governed by return policy POL-OPS-044. Support agents must check the purchase date and policy version before approving refunds. Currently (2026), the return window is 21 days. Non-returnable items include custom-tinted paint and cut marble.</w:t>
      </w:r>
    </w:p>
    <w:p>
      <w:r>
        <w:t>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</w:r>
    </w:p>
    <w:p>
      <w:pPr>
        <w:pStyle w:val="Heading1"/>
        <w:spacing w:before="240" w:after="120"/>
      </w:pPr>
      <w:r>
        <w:rPr>
          <w:rFonts w:ascii="Arial" w:hAnsi="Arial"/>
          <w:b/>
          <w:i w:val="0"/>
          <w:color w:val="1A73E8"/>
          <w:sz w:val="36"/>
        </w:rPr>
        <w:t>3. Dispute Escalation Paths</w:t>
      </w:r>
    </w:p>
    <w:p>
      <w:r>
        <w:t>If a dealer disputes an invoice or credit limit, the ticket must be escalated to the Finance accounts team. Let's refer to our escalation matrices for handling complex payment conflicts.</w:t>
      </w:r>
    </w:p>
    <w:p>
      <w:r>
        <w:t>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