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COMPENSATION AND BENEFITS FRAMEWORK 2026</w:t>
      </w:r>
    </w:p>
    <w:p>
      <w:r>
        <w:t>Document ID: POL-HR-COMP-207</w:t>
        <w:br/>
        <w:t>Owner: Rahul Verma (HR)</w:t>
        <w:br/>
        <w:t>Classification: Internal Restricted</w:t>
      </w:r>
    </w:p>
    <w:p>
      <w:r>
        <w:t>Stock put-away is guided by the Warehouse Management System (WMS), which assigns specific bin locations based on item weight, safety classification, and inventory rotation rules (FIFO/FEFO).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Moreover, fleet dispatch operations require loading verification, vehicle roadworthiness checks, GPS tracker activation, and printouts of logistics invoices and e-way bills.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Moreover, fleet dispatch operations require loading verification, vehicle roadworthiness checks, GPS tracker activation, and printouts of logistics invoices and e-way bills.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Moreover, fleet dispatch operations require loading verification, vehicle roadworthiness checks, GPS tracker activation, and printouts of logistics invoices and e-way bills.</w:t>
        <w:br/>
        <w:br/>
        <w:t>Moreover,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Moreover,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Moreover, fleet dispatch operations require loading verification, vehicle roadworthiness checks, GPS tracker activation, and printouts of logistics invoices and e-way bills.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Consequently, stock put-away is guided by the Warehouse Management System (WMS), which assigns specific bin locations based on item weight, safety classification, and inventory rotation rules (FIFO/FEFO).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