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A73E8"/>
          <w:sz w:val="48"/>
        </w:rPr>
        <w:t>EASY BUILD: FINANCE AND PROCUREMENT POLICY MANUAL</w:t>
      </w:r>
    </w:p>
    <w:p>
      <w:r>
        <w:rPr>
          <w:b/>
        </w:rPr>
        <w:t xml:space="preserve">Document ID: </w:t>
      </w:r>
      <w:r>
        <w:t>EB-FIN-POL-102</w:t>
        <w:br/>
      </w:r>
      <w:r>
        <w:rPr>
          <w:b/>
        </w:rPr>
        <w:t xml:space="preserve">Department: </w:t>
      </w:r>
      <w:r>
        <w:t>Finance &amp; Accounts</w:t>
        <w:br/>
      </w:r>
      <w:r>
        <w:rPr>
          <w:b/>
        </w:rPr>
        <w:t xml:space="preserve">Owner: </w:t>
      </w:r>
      <w:r>
        <w:t>Sunita Gupta (CFO)</w:t>
        <w:br/>
      </w:r>
      <w:r>
        <w:rPr>
          <w:b/>
        </w:rPr>
        <w:t xml:space="preserve">Version: </w:t>
      </w:r>
      <w:r>
        <w:t>3.0</w:t>
        <w:br/>
      </w:r>
      <w:r>
        <w:rPr>
          <w:b/>
        </w:rPr>
        <w:t xml:space="preserve">Effective Date: </w:t>
      </w:r>
      <w:r>
        <w:t>2025-10-01</w:t>
        <w:br/>
      </w:r>
      <w:r>
        <w:rPr>
          <w:b/>
        </w:rPr>
        <w:t xml:space="preserve">Classification: </w:t>
      </w:r>
      <w:r>
        <w:t>Internal Restricted</w:t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1. Purchase Requisitions &amp; Approvals</w:t>
      </w:r>
    </w:p>
    <w:p>
      <w:r>
        <w:t>This manual defines the financial delegation of authority (DoA) thresholds for all purchase requisitions, operating expenses, and capital investments. All employees must check the limits before initiating purchase orders.</w:t>
      </w:r>
    </w:p>
    <w:p>
      <w:r>
        <w:t>**IMPORTANT: Purchase requisitions exceeding ₹25 lakh (₹25,000,000) require Level-3 financial approval, which must be approved by the CFO Sunita Gupta and signed off by the CEO Rajesh Kumar.**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>
              <w:rPr>
                <w:b/>
                <w:color w:val="FFFFFF"/>
              </w:rPr>
              <w:t>Approval Level</w:t>
            </w:r>
          </w:p>
        </w:tc>
        <w:tc>
          <w:tcPr>
            <w:tcW w:type="dxa" w:w="2880"/>
            <w:shd w:fill="1A73E8"/>
          </w:tcPr>
          <w:p>
            <w:r>
              <w:rPr>
                <w:b/>
                <w:color w:val="FFFFFF"/>
              </w:rPr>
              <w:t>Threshold Limit</w:t>
            </w:r>
          </w:p>
        </w:tc>
        <w:tc>
          <w:tcPr>
            <w:tcW w:type="dxa" w:w="2880"/>
            <w:shd w:fill="1A73E8"/>
          </w:tcPr>
          <w:p>
            <w:r>
              <w:rPr>
                <w:b/>
                <w:color w:val="FFFFFF"/>
              </w:rPr>
              <w:t>Primary Approver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Level-1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Up to ₹10,000,000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Procurement Manager / Territory Logistics Lead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Level-2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₹10,000,001 to ₹25,000,000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Finance Director / Operations Head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Level-3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Exceeding ₹25,000,000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CFO Sunita Gupta and approved by CEO Rajesh Kumar</w:t>
            </w:r>
          </w:p>
        </w:tc>
      </w:tr>
    </w:tbl>
    <w:p>
      <w:r>
        <w:br/>
      </w:r>
    </w:p>
    <w:p>
      <w:r>
        <w:t>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2. Vendor Onboarding and Payment Terms</w:t>
      </w:r>
    </w:p>
    <w:p>
      <w:r>
        <w:t>EASY BUILD partners with material manufacturers under standardized legal agreements. The standard credit term for approved B2B dealers is Net-30 or Net-45, depending on their credit score. Legacy policies from 2022 that offered Net-60 credit terms are no longer active.</w:t>
      </w:r>
    </w:p>
    <w:p>
      <w:r>
        <w:t>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3. Expense Reimbursement and Audits</w:t>
      </w:r>
    </w:p>
    <w:p>
      <w:r>
        <w:t>Travel and other business expenses are managed in accordance with policy POL-HR-208. Auditing occurs monthly to ensure full compliance and identify unauthorized expenses.</w:t>
      </w:r>
    </w:p>
    <w:p>
      <w:r>
        <w:t>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