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8"/>
        </w:rPr>
        <w:t>EASY BUILD: AI AND RAG TRANSFORMATION STRATEGY</w:t>
      </w:r>
    </w:p>
    <w:p>
      <w:r>
        <w:rPr>
          <w:b/>
        </w:rPr>
        <w:t xml:space="preserve">Document ID: </w:t>
      </w:r>
      <w:r>
        <w:t>EB-TECH-AI-010</w:t>
        <w:br/>
      </w:r>
      <w:r>
        <w:rPr>
          <w:b/>
        </w:rPr>
        <w:t xml:space="preserve">Owner: </w:t>
      </w:r>
      <w:r>
        <w:t>Vikram Malhotra (VP Technology)</w:t>
        <w:br/>
      </w:r>
    </w:p>
    <w:p>
      <w:pPr>
        <w:pStyle w:val="Heading1"/>
        <w:spacing w:before="240" w:after="120"/>
      </w:pPr>
      <w:r>
        <w:rPr>
          <w:rFonts w:ascii="Arial" w:hAnsi="Arial"/>
          <w:b/>
          <w:i w:val="0"/>
          <w:color w:val="1A73E8"/>
          <w:sz w:val="36"/>
        </w:rPr>
        <w:t>1. Enterprise Search &amp; RAG Roadmap</w:t>
      </w:r>
    </w:p>
    <w:p>
      <w:r>
        <w:t>This strategic document outlines our deployment of Retrieval-Augmented Generation (RAG) models to improve searchability of internal catalogs, employee handbooks, and operations manuals. Our target is to build a unified interface using Qwen2-VL for layout-aware parsing and Ollama for embeddings.</w:t>
      </w:r>
    </w:p>
    <w:p>
      <w:r>
        <w:t>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Consequently,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Consequently, the microservices architecture employs Kong API Gateway for routing client calls, securing endpoints via OAuth 2.0, and applying rate limits to protect backend services from denial of service.</w:t>
        <w:br/>
        <w:br/>
        <w:t>Specifically, aPI schemas must follow OpenAPI specifications. Every service must support health check endpoints, structured JSON logging, and distributed tracing metadata headers (X-Request-ID).</w:t>
        <w:br/>
        <w:br/>
        <w:t>Moreover,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Consequently,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Specifically,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Moreover, vector embeddings are generated using local transformer models and stored in ChromaDB vector stores with cosine similarity configurations, allowing fast semantic similarity search.</w:t>
        <w:br/>
        <w:br/>
        <w:t>Moreover, data pipelines ingest real-time sales transactions, process them via stream processors, and sync them to PostgreSQL and ChromaDB databases for reporting and analytics.</w:t>
        <w:br/>
        <w:br/>
        <w:t>Consequently,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Additionally, the microservices architecture employs Kong API Gateway for routing client calls, securing endpoints via OAuth 2.0, and applying rate limits to protect backend services from denial of service.</w:t>
        <w:br/>
        <w:br/>
        <w:t>Consequently,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Furthermore,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Specifically,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Additionally, the microservices architecture employs Kong API Gateway for routing client calls, securing endpoints via OAuth 2.0, and applying rate limits to protect backend services from denial of service.</w:t>
        <w:br/>
        <w:br/>
        <w:t>In this context,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In this context,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Moreover,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Specifically, aPI schemas must follow OpenAPI specifications. Every service must support health check endpoints, structured JSON logging, and distributed tracing metadata headers (X-Request-ID).</w:t>
        <w:br/>
        <w:br/>
        <w:t>Consequently,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Additionally, vector embeddings are generated using local transformer models and stored in ChromaDB vector stores with cosine similarity configurations, allowing fast semantic similarity search.</w:t>
        <w:br/>
        <w:br/>
        <w:t>Additionally,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Consequently,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In this context, the microservices architecture employs Kong API Gateway for routing client calls, securing endpoints via OAuth 2.0, and applying rate limits to protect backend services from denial of service.</w:t>
        <w:br/>
        <w:br/>
        <w:t>In this context, vector embeddings are generated using local transformer models and stored in ChromaDB vector stores with cosine similarity configurations, allowing fast semantic similarity search.</w:t>
        <w:br/>
        <w:br/>
        <w:t>Specifically,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Moreover,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Consequently, the Order Management service interacts with the ERP core database over port 5439. The database runs on PostgreSQL 15.4 to handle complex ACID transactions and structured JSON metadata queries.</w:t>
        <w:br/>
        <w:br/>
        <w:t>Consequently,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Consequently,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Furthermore, the Order Management service interacts with the ERP core database over port 5439. The database runs on PostgreSQL 15.4 to handle complex ACID transactions and structured JSON metadata queries.</w:t>
        <w:br/>
        <w:br/>
        <w:t>Additionally,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Additionally,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Consequently,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Specifically,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Specifically,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Consequently, data pipelines ingest real-time sales transactions, process them via stream processors, and sync them to PostgreSQL and ChromaDB databases for reporting and analytics.</w:t>
        <w:br/>
        <w:br/>
        <w:t>Furthermore, the Order Management service interacts with the ERP core database over port 5439. The database runs on PostgreSQL 15.4 to handle complex ACID transactions and structured JSON metadata queries.</w:t>
        <w:br/>
        <w:br/>
        <w:t>Consequently,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Additionally,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Consequently,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Furthermore,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Specifically, vector embeddings are generated using local transformer models and stored in ChromaDB vector stores with cosine similarity configurations, allowing fast semantic similarity search.</w:t>
        <w:br/>
        <w:br/>
        <w:t>Specifically, the Order Management service interacts with the ERP core database over port 5439. The database runs on PostgreSQL 15.4 to handle complex ACID transactions and structured JSON metadata queries.</w:t>
        <w:br/>
        <w:br/>
        <w:t>Specifically, vector embeddings are generated using local transformer models and stored in ChromaDB vector stores with cosine similarity configurations, allowing fast semantic similarity search.</w:t>
        <w:br/>
        <w:br/>
        <w:t>Specifically,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In this context, the microservices architecture employs Kong API Gateway for routing client calls, securing endpoints via OAuth 2.0, and applying rate limits to protect backend services from denial of service.</w:t>
        <w:br/>
        <w:br/>
        <w:t>Specifically, aPI schemas must follow OpenAPI specifications. Every service must support health check endpoints, structured JSON logging, and distributed tracing metadata headers (X-Request-ID).</w:t>
      </w:r>
    </w:p>
    <w:p>
      <w:pPr>
        <w:pStyle w:val="Heading1"/>
        <w:spacing w:before="240" w:after="120"/>
      </w:pPr>
      <w:r>
        <w:rPr>
          <w:rFonts w:ascii="Arial" w:hAnsi="Arial"/>
          <w:b/>
          <w:i w:val="0"/>
          <w:color w:val="1A73E8"/>
          <w:sz w:val="36"/>
        </w:rPr>
        <w:t>2. Multimodal OCR and Vision Indexing</w:t>
      </w:r>
    </w:p>
    <w:p>
      <w:r>
        <w:t>RAG pipelines often fail when critical data is stored inside drawings, charts, or diagrams. To solve this, our system routes layout chunks with visual components to a local vision-language model, which generates detailed text summaries to enrich the vector store indices.</w:t>
      </w:r>
    </w:p>
    <w:p>
      <w:r>
        <w:t>The Order Management service interacts with the ERP core database over port 5439. The database runs on PostgreSQL 15.4 to handle complex ACID transactions and structured JSON metadata queries.</w:t>
        <w:br/>
        <w:br/>
        <w:t>Additionally,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In this context,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Specifically,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Moreover, the Order Management service interacts with the ERP core database over port 5439. The database runs on PostgreSQL 15.4 to handle complex ACID transactions and structured JSON metadata queries.</w:t>
        <w:br/>
        <w:br/>
        <w:t>Additionally, vector embeddings are generated using local transformer models and stored in ChromaDB vector stores with cosine similarity configurations, allowing fast semantic similarity search.</w:t>
        <w:br/>
        <w:br/>
        <w:t>Consequently,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Specifically, vector embeddings are generated using local transformer models and stored in ChromaDB vector stores with cosine similarity configurations, allowing fast semantic similarity search.</w:t>
        <w:br/>
        <w:br/>
        <w:t>Moreover,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Moreover, the Order Management service interacts with the ERP core database over port 5439. The database runs on PostgreSQL 15.4 to handle complex ACID transactions and structured JSON metadata queries.</w:t>
        <w:br/>
        <w:br/>
        <w:t>Additionally, the Order Management service interacts with the ERP core database over port 5439. The database runs on PostgreSQL 15.4 to handle complex ACID transactions and structured JSON metadata queries.</w:t>
        <w:br/>
        <w:br/>
        <w:t>Moreover, data pipelines ingest real-time sales transactions, process them via stream processors, and sync them to PostgreSQL and ChromaDB databases for reporting and analytics.</w:t>
        <w:br/>
        <w:br/>
        <w:t>In this context,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In this context, vector embeddings are generated using local transformer models and stored in ChromaDB vector stores with cosine similarity configurations, allowing fast semantic similarity search.</w:t>
        <w:br/>
        <w:br/>
        <w:t>Furthermore,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Furthermore,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Specifically,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Furthermore,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Furthermore,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Furthermore,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Moreover,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Specifically,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Additionally, vector embeddings are generated using local transformer models and stored in ChromaDB vector stores with cosine similarity configurations, allowing fast semantic similarity search.</w:t>
        <w:br/>
        <w:br/>
        <w:t>Furthermore, the Order Management service interacts with the ERP core database over port 5439. The database runs on PostgreSQL 15.4 to handle complex ACID transactions and structured JSON metadata queries.</w:t>
        <w:br/>
        <w:br/>
        <w:t>Specifically,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Consequently, data pipelines ingest real-time sales transactions, process them via stream processors, and sync them to PostgreSQL and ChromaDB databases for reporting and analytics.</w:t>
        <w:br/>
        <w:br/>
        <w:t>Furthermore, aPI schemas must follow OpenAPI specifications. Every service must support health check endpoints, structured JSON logging, and distributed tracing metadata headers (X-Request-ID).</w:t>
        <w:br/>
        <w:br/>
        <w:t>Furthermore,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Consequently, aPI schemas must follow OpenAPI specifications. Every service must support health check endpoints, structured JSON logging, and distributed tracing metadata headers (X-Request-ID).</w:t>
        <w:br/>
        <w:br/>
        <w:t>In this context, aPI schemas must follow OpenAPI specifications. Every service must support health check endpoints, structured JSON logging, and distributed tracing metadata headers (X-Request-ID).</w:t>
        <w:br/>
        <w:br/>
        <w:t>Moreover, aPI schemas must follow OpenAPI specifications. Every service must support health check endpoints, structured JSON logging, and distributed tracing metadata headers (X-Request-ID).</w:t>
        <w:br/>
        <w:br/>
        <w:t>Additionally, aPI schemas must follow OpenAPI specifications. Every service must support health check endpoints, structured JSON logging, and distributed tracing metadata headers (X-Request-ID).</w:t>
        <w:br/>
        <w:br/>
        <w:t>Furthermore,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Furthermore, the microservices architecture employs Kong API Gateway for routing client calls, securing endpoints via OAuth 2.0, and applying rate limits to protect backend services from denial of service.</w:t>
        <w:br/>
        <w:br/>
        <w:t>In this context,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Consequently,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Consequently,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Furthermore,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Consequently, aPI schemas must follow OpenAPI specifications. Every service must support health check endpoints, structured JSON logging, and distributed tracing metadata headers (X-Request-ID).</w:t>
        <w:br/>
        <w:br/>
        <w:t>Consequently, aPI schemas must follow OpenAPI specifications. Every service must support health check endpoints, structured JSON logging, and distributed tracing metadata headers (X-Request-ID).</w:t>
        <w:br/>
        <w:br/>
        <w:t>Specifically,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Furthermore,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Furthermore, aPI schemas must follow OpenAPI specifications. Every service must support health check endpoints, structured JSON logging, and distributed tracing metadata headers (X-Request-ID).</w:t>
        <w:br/>
        <w:br/>
        <w:t>Additionally,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Moreover, the Order Management service interacts with the ERP core database over port 5439. The database runs on PostgreSQL 15.4 to handle complex ACID transactions and structured JSON metadata queries.</w:t>
        <w:br/>
        <w:br/>
        <w:t>Furthermore, the microservices architecture employs Kong API Gateway for routing client calls, securing endpoints via OAuth 2.0, and applying rate limits to protect backend services from denial of service.</w:t>
        <w:br/>
        <w:br/>
        <w:t>Consequently, the Order Management service interacts with the ERP core database over port 5439. The database runs on PostgreSQL 15.4 to handle complex ACID transactions and structured JSON metadata queries.</w:t>
        <w:br/>
        <w:br/>
        <w:t>Moreover,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Additionally,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Furthermore,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Specifically, aPI schemas must follow OpenAPI specifications. Every service must support health check endpoints, structured JSON logging, and distributed tracing metadata headers (X-Request-ID).</w:t>
        <w:br/>
        <w:br/>
        <w:t>Furthermore,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Moreover,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Specifically,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Additionally, aPI schemas must follow OpenAPI specifications. Every service must support health check endpoints, structured JSON logging, and distributed tracing metadata headers (X-Request-ID).</w:t>
      </w:r>
    </w:p>
    <w:p>
      <w:pPr>
        <w:pStyle w:val="Heading1"/>
        <w:spacing w:before="240" w:after="120"/>
      </w:pPr>
      <w:r>
        <w:rPr>
          <w:rFonts w:ascii="Arial" w:hAnsi="Arial"/>
          <w:b/>
          <w:i w:val="0"/>
          <w:color w:val="1A73E8"/>
          <w:sz w:val="36"/>
        </w:rPr>
        <w:t>3. Vector Databases and Rerankers</w:t>
      </w:r>
    </w:p>
    <w:p>
      <w:r>
        <w:t>We utilize ChromaDB with cosine similarity metrics for dense vector retrieval. To handle complex queries, we employ hybrid search (ChromaDB + BM25 keyword matching) combined with cross-encoder rerankers like BAAI/bge-reranker-base.</w:t>
      </w:r>
    </w:p>
    <w:p>
      <w:r>
        <w:t>Vector embeddings are generated using local transformer models and stored in ChromaDB vector stores with cosine similarity configurations, allowing fast semantic similarity search.</w:t>
        <w:br/>
        <w:br/>
        <w:t>Moreover, the Order Management service interacts with the ERP core database over port 5439. The database runs on PostgreSQL 15.4 to handle complex ACID transactions and structured JSON metadata queries.</w:t>
        <w:br/>
        <w:br/>
        <w:t>Furthermore,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In this context,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In this context,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Furthermore, the Order Management service interacts with the ERP core database over port 5439. The database runs on PostgreSQL 15.4 to handle complex ACID transactions and structured JSON metadata queries.</w:t>
        <w:br/>
        <w:br/>
        <w:t>Furthermore,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Moreover,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Additionally, the microservices architecture employs Kong API Gateway for routing client calls, securing endpoints via OAuth 2.0, and applying rate limits to protect backend services from denial of service.</w:t>
        <w:br/>
        <w:br/>
        <w:t>Consequently,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Furthermore, the Order Management service interacts with the ERP core database over port 5439. The database runs on PostgreSQL 15.4 to handle complex ACID transactions and structured JSON metadata queries.</w:t>
        <w:br/>
        <w:br/>
        <w:t>Consequently,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In this context,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In this context, the Order Management service interacts with the ERP core database over port 5439. The database runs on PostgreSQL 15.4 to handle complex ACID transactions and structured JSON metadata queries.</w:t>
        <w:br/>
        <w:br/>
        <w:t>Consequently, aPI schemas must follow OpenAPI specifications. Every service must support health check endpoints, structured JSON logging, and distributed tracing metadata headers (X-Request-ID).</w:t>
        <w:br/>
        <w:br/>
        <w:t>Moreover,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Moreover,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Moreover,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Furthermore,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Specifically,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Specifically,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Furthermore, the microservices architecture employs Kong API Gateway for routing client calls, securing endpoints via OAuth 2.0, and applying rate limits to protect backend services from denial of service.</w:t>
        <w:br/>
        <w:br/>
        <w:t>Specifically,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Specifically, aPI schemas must follow OpenAPI specifications. Every service must support health check endpoints, structured JSON logging, and distributed tracing metadata headers (X-Request-ID).</w:t>
        <w:br/>
        <w:br/>
        <w:t>Specifically,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Consequently,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In this context,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In this context,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In this context,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In this context,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In this context,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Consequently,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Moreover,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br/>
        <w:br/>
        <w:t>Consequently, data pipelines ingest real-time sales transactions, process them via stream processors, and sync them to PostgreSQL and ChromaDB databases for reporting and analytics.</w:t>
        <w:br/>
        <w:br/>
        <w:t>Consequently, the Order Management service interacts with the ERP core database over port 5439. The database runs on PostgreSQL 15.4 to handle complex ACID transactions and structured JSON metadata queries.</w:t>
        <w:br/>
        <w:br/>
        <w:t>Moreover,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Moreover, aPI schemas must follow OpenAPI specifications. Every service must support health check endpoints, structured JSON logging, and distributed tracing metadata headers (X-Request-ID).</w:t>
        <w:br/>
        <w:br/>
        <w:t>Additionally,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Specifically, aPI schemas must follow OpenAPI specifications. Every service must support health check endpoints, structured JSON logging, and distributed tracing metadata headers (X-Request-ID).</w:t>
        <w:br/>
        <w:br/>
        <w:t>Specifically,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Moreover,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Furthermore, the Order Management service interacts with the ERP core database over port 5439. The database runs on PostgreSQL 15.4 to handle complex ACID transactions and structured JSON metadata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