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 BUILD: CUSTOMER RETURN POLICY (v3) - CURRENT</w:t>
      </w:r>
    </w:p>
    <w:p>
      <w:r>
        <w:t>Document ID: POL-OPS-044</w:t>
        <w:br/>
        <w:t>Version: 3.0</w:t>
        <w:br/>
        <w:t>Year: 2026</w:t>
        <w:br/>
        <w:t>Status: ACTIVE</w:t>
      </w:r>
    </w:p>
    <w:p>
      <w:r>
        <w:t>**Standard Return Window: 21 days**</w:t>
      </w:r>
    </w:p>
    <w:p>
      <w:r>
        <w:t>Standard return window is 21 days. Custom-cut marble and custom-tinted paint are strictly non-returnable. Cement returns must show zero moisture exposure. Restocking fee is 20%. Approved by Rajesh Kumar (CEO).</w:t>
      </w:r>
    </w:p>
    <w:p>
      <w:r>
        <w:t>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